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479D" w14:textId="77777777" w:rsidR="00FA6806" w:rsidRPr="00D50615" w:rsidRDefault="00FA6806" w:rsidP="00FA6806">
      <w:pPr>
        <w:jc w:val="center"/>
        <w:rPr>
          <w:rFonts w:ascii="Arial" w:hAnsi="Arial" w:cs="Arial"/>
          <w:b/>
          <w:color w:val="5B9BD5" w:themeColor="accent1"/>
          <w:sz w:val="24"/>
        </w:rPr>
      </w:pPr>
      <w:r w:rsidRPr="00D50615">
        <w:rPr>
          <w:rFonts w:ascii="Arial" w:hAnsi="Arial" w:cs="Arial"/>
          <w:b/>
          <w:color w:val="5B9BD5" w:themeColor="accent1"/>
          <w:sz w:val="24"/>
        </w:rPr>
        <w:t>F1 SURVIVAL GUIDE</w:t>
      </w:r>
    </w:p>
    <w:tbl>
      <w:tblPr>
        <w:tblStyle w:val="TableGrid"/>
        <w:tblW w:w="9067" w:type="dxa"/>
        <w:tblLook w:val="04A0" w:firstRow="1" w:lastRow="0" w:firstColumn="1" w:lastColumn="0" w:noHBand="0" w:noVBand="1"/>
      </w:tblPr>
      <w:tblGrid>
        <w:gridCol w:w="2689"/>
        <w:gridCol w:w="6378"/>
      </w:tblGrid>
      <w:tr w:rsidR="00FA6806" w14:paraId="0265AEB5" w14:textId="77777777" w:rsidTr="00FB7C91">
        <w:tc>
          <w:tcPr>
            <w:tcW w:w="2689" w:type="dxa"/>
          </w:tcPr>
          <w:p w14:paraId="6A81938B" w14:textId="77777777" w:rsidR="00FA6806" w:rsidRPr="00281725" w:rsidRDefault="00FA6806" w:rsidP="00FA6806">
            <w:pPr>
              <w:rPr>
                <w:rFonts w:ascii="Arial" w:hAnsi="Arial" w:cs="Arial"/>
                <w:b/>
                <w:color w:val="5B9BD5" w:themeColor="accent1"/>
                <w:sz w:val="24"/>
              </w:rPr>
            </w:pPr>
            <w:r w:rsidRPr="00281725">
              <w:rPr>
                <w:rFonts w:ascii="Arial" w:hAnsi="Arial" w:cs="Arial"/>
                <w:b/>
                <w:color w:val="5B9BD5" w:themeColor="accent1"/>
                <w:sz w:val="24"/>
              </w:rPr>
              <w:t>Specialty</w:t>
            </w:r>
          </w:p>
        </w:tc>
        <w:tc>
          <w:tcPr>
            <w:tcW w:w="6378" w:type="dxa"/>
          </w:tcPr>
          <w:p w14:paraId="672A6659" w14:textId="330627F3" w:rsidR="00FA6806" w:rsidRPr="00353FC0" w:rsidRDefault="00C34349" w:rsidP="00281725">
            <w:pPr>
              <w:jc w:val="both"/>
              <w:rPr>
                <w:rFonts w:ascii="Arial" w:hAnsi="Arial" w:cs="Arial"/>
                <w:sz w:val="24"/>
                <w:szCs w:val="24"/>
              </w:rPr>
            </w:pPr>
            <w:r>
              <w:rPr>
                <w:rFonts w:ascii="Arial" w:hAnsi="Arial" w:cs="Arial"/>
                <w:sz w:val="24"/>
                <w:szCs w:val="24"/>
              </w:rPr>
              <w:t>Haematology</w:t>
            </w:r>
          </w:p>
        </w:tc>
      </w:tr>
      <w:tr w:rsidR="00FA6806" w14:paraId="60B0BE03" w14:textId="77777777" w:rsidTr="00FB7C91">
        <w:tc>
          <w:tcPr>
            <w:tcW w:w="2689" w:type="dxa"/>
          </w:tcPr>
          <w:p w14:paraId="496D3A3D" w14:textId="77777777" w:rsidR="00FA6806" w:rsidRPr="00281725" w:rsidRDefault="00FA6806" w:rsidP="00FA6806">
            <w:pPr>
              <w:rPr>
                <w:rFonts w:ascii="Arial" w:hAnsi="Arial" w:cs="Arial"/>
                <w:b/>
                <w:color w:val="5B9BD5" w:themeColor="accent1"/>
                <w:sz w:val="24"/>
              </w:rPr>
            </w:pPr>
            <w:r w:rsidRPr="00281725">
              <w:rPr>
                <w:rFonts w:ascii="Arial" w:hAnsi="Arial" w:cs="Arial"/>
                <w:b/>
                <w:color w:val="5B9BD5" w:themeColor="accent1"/>
                <w:sz w:val="24"/>
              </w:rPr>
              <w:t>Location/s</w:t>
            </w:r>
          </w:p>
        </w:tc>
        <w:tc>
          <w:tcPr>
            <w:tcW w:w="6378" w:type="dxa"/>
          </w:tcPr>
          <w:p w14:paraId="38DA7F21" w14:textId="3C2B51FB" w:rsidR="00FA6806" w:rsidRPr="00353FC0" w:rsidRDefault="00C34349" w:rsidP="00281725">
            <w:pPr>
              <w:jc w:val="both"/>
              <w:rPr>
                <w:rFonts w:ascii="Arial" w:eastAsia="Arial" w:hAnsi="Arial" w:cs="Arial"/>
                <w:color w:val="201F1E"/>
                <w:sz w:val="24"/>
                <w:szCs w:val="24"/>
              </w:rPr>
            </w:pPr>
            <w:r>
              <w:rPr>
                <w:rFonts w:ascii="Arial" w:eastAsia="Arial" w:hAnsi="Arial" w:cs="Arial"/>
                <w:color w:val="201F1E"/>
                <w:sz w:val="24"/>
                <w:szCs w:val="24"/>
              </w:rPr>
              <w:t>Lawrence</w:t>
            </w:r>
            <w:r w:rsidR="13F63263" w:rsidRPr="00353FC0">
              <w:rPr>
                <w:rFonts w:ascii="Arial" w:eastAsia="Arial" w:hAnsi="Arial" w:cs="Arial"/>
                <w:color w:val="201F1E"/>
                <w:sz w:val="24"/>
                <w:szCs w:val="24"/>
              </w:rPr>
              <w:t xml:space="preserve"> Ward (B</w:t>
            </w:r>
            <w:r>
              <w:rPr>
                <w:rFonts w:ascii="Arial" w:eastAsia="Arial" w:hAnsi="Arial" w:cs="Arial"/>
                <w:color w:val="201F1E"/>
                <w:sz w:val="24"/>
                <w:szCs w:val="24"/>
              </w:rPr>
              <w:t>rown</w:t>
            </w:r>
            <w:r w:rsidR="13F63263" w:rsidRPr="00353FC0">
              <w:rPr>
                <w:rFonts w:ascii="Arial" w:eastAsia="Arial" w:hAnsi="Arial" w:cs="Arial"/>
                <w:color w:val="201F1E"/>
                <w:sz w:val="24"/>
                <w:szCs w:val="24"/>
              </w:rPr>
              <w:t xml:space="preserve"> Zone, Level 1) </w:t>
            </w:r>
          </w:p>
          <w:p w14:paraId="423233EA" w14:textId="096A76B4" w:rsidR="00FA6806" w:rsidRPr="00353FC0" w:rsidRDefault="13F63263" w:rsidP="00281725">
            <w:pPr>
              <w:jc w:val="both"/>
              <w:rPr>
                <w:rFonts w:ascii="Arial" w:eastAsia="Arial" w:hAnsi="Arial" w:cs="Arial"/>
                <w:color w:val="201F1E"/>
                <w:sz w:val="24"/>
                <w:szCs w:val="24"/>
              </w:rPr>
            </w:pPr>
            <w:r w:rsidRPr="00353FC0">
              <w:rPr>
                <w:rFonts w:ascii="Arial" w:eastAsia="Arial" w:hAnsi="Arial" w:cs="Arial"/>
                <w:color w:val="201F1E"/>
                <w:sz w:val="24"/>
                <w:szCs w:val="24"/>
              </w:rPr>
              <w:t>Outliers on Phoenix Ward (Green Zone, Level 3)</w:t>
            </w:r>
          </w:p>
          <w:p w14:paraId="0A37501D" w14:textId="3922242A" w:rsidR="00FA6806" w:rsidRPr="00353FC0" w:rsidRDefault="00C34349" w:rsidP="00281725">
            <w:pPr>
              <w:jc w:val="both"/>
              <w:rPr>
                <w:rFonts w:ascii="Arial" w:eastAsia="Arial" w:hAnsi="Arial" w:cs="Arial"/>
                <w:sz w:val="24"/>
                <w:szCs w:val="24"/>
              </w:rPr>
            </w:pPr>
            <w:r>
              <w:rPr>
                <w:rFonts w:ascii="Arial" w:eastAsia="Arial" w:hAnsi="Arial" w:cs="Arial"/>
                <w:color w:val="201F1E"/>
                <w:sz w:val="24"/>
                <w:szCs w:val="24"/>
              </w:rPr>
              <w:t>1</w:t>
            </w:r>
            <w:r w:rsidR="00811344">
              <w:rPr>
                <w:rFonts w:ascii="Arial" w:eastAsia="Arial" w:hAnsi="Arial" w:cs="Arial"/>
                <w:color w:val="201F1E"/>
                <w:sz w:val="24"/>
                <w:szCs w:val="24"/>
              </w:rPr>
              <w:t>8</w:t>
            </w:r>
            <w:r w:rsidR="4C4314D4" w:rsidRPr="00353FC0">
              <w:rPr>
                <w:rFonts w:ascii="Arial" w:eastAsia="Arial" w:hAnsi="Arial" w:cs="Arial"/>
                <w:color w:val="201F1E"/>
                <w:sz w:val="24"/>
                <w:szCs w:val="24"/>
              </w:rPr>
              <w:t xml:space="preserve"> Patients – </w:t>
            </w:r>
            <w:r>
              <w:rPr>
                <w:rFonts w:ascii="Arial" w:eastAsia="Arial" w:hAnsi="Arial" w:cs="Arial"/>
                <w:color w:val="201F1E"/>
                <w:sz w:val="24"/>
                <w:szCs w:val="24"/>
              </w:rPr>
              <w:t>2</w:t>
            </w:r>
            <w:r w:rsidR="4C4314D4" w:rsidRPr="00353FC0">
              <w:rPr>
                <w:rFonts w:ascii="Arial" w:eastAsia="Arial" w:hAnsi="Arial" w:cs="Arial"/>
                <w:color w:val="201F1E"/>
                <w:sz w:val="24"/>
                <w:szCs w:val="24"/>
              </w:rPr>
              <w:t xml:space="preserve"> bays</w:t>
            </w:r>
            <w:r>
              <w:rPr>
                <w:rFonts w:ascii="Arial" w:eastAsia="Arial" w:hAnsi="Arial" w:cs="Arial"/>
                <w:color w:val="201F1E"/>
                <w:sz w:val="24"/>
                <w:szCs w:val="24"/>
              </w:rPr>
              <w:t xml:space="preserve"> with 3 patients each</w:t>
            </w:r>
            <w:r w:rsidR="4C4314D4" w:rsidRPr="00353FC0">
              <w:rPr>
                <w:rFonts w:ascii="Arial" w:eastAsia="Arial" w:hAnsi="Arial" w:cs="Arial"/>
                <w:color w:val="201F1E"/>
                <w:sz w:val="24"/>
                <w:szCs w:val="24"/>
              </w:rPr>
              <w:t xml:space="preserve">, </w:t>
            </w:r>
            <w:r>
              <w:rPr>
                <w:rFonts w:ascii="Arial" w:eastAsia="Arial" w:hAnsi="Arial" w:cs="Arial"/>
                <w:color w:val="201F1E"/>
                <w:sz w:val="24"/>
                <w:szCs w:val="24"/>
              </w:rPr>
              <w:t>1</w:t>
            </w:r>
            <w:r w:rsidR="00811344">
              <w:rPr>
                <w:rFonts w:ascii="Arial" w:eastAsia="Arial" w:hAnsi="Arial" w:cs="Arial"/>
                <w:color w:val="201F1E"/>
                <w:sz w:val="24"/>
                <w:szCs w:val="24"/>
              </w:rPr>
              <w:t>2</w:t>
            </w:r>
            <w:r w:rsidR="4C4314D4" w:rsidRPr="00353FC0">
              <w:rPr>
                <w:rFonts w:ascii="Arial" w:eastAsia="Arial" w:hAnsi="Arial" w:cs="Arial"/>
                <w:color w:val="201F1E"/>
                <w:sz w:val="24"/>
                <w:szCs w:val="24"/>
              </w:rPr>
              <w:t xml:space="preserve"> side-rooms.</w:t>
            </w:r>
          </w:p>
        </w:tc>
      </w:tr>
      <w:tr w:rsidR="00FA6806" w14:paraId="7097B7AB" w14:textId="77777777" w:rsidTr="00FB7C91">
        <w:tc>
          <w:tcPr>
            <w:tcW w:w="2689" w:type="dxa"/>
          </w:tcPr>
          <w:p w14:paraId="1C1DC1D9" w14:textId="77777777" w:rsidR="00FA6806" w:rsidRPr="00281725" w:rsidRDefault="00FA6806" w:rsidP="00FA6806">
            <w:pPr>
              <w:rPr>
                <w:rFonts w:ascii="Arial" w:hAnsi="Arial" w:cs="Arial"/>
                <w:b/>
                <w:color w:val="5B9BD5" w:themeColor="accent1"/>
                <w:sz w:val="24"/>
              </w:rPr>
            </w:pPr>
            <w:r w:rsidRPr="00281725">
              <w:rPr>
                <w:rFonts w:ascii="Arial" w:hAnsi="Arial" w:cs="Arial"/>
                <w:b/>
                <w:color w:val="5B9BD5" w:themeColor="accent1"/>
                <w:sz w:val="24"/>
              </w:rPr>
              <w:t>Team</w:t>
            </w:r>
          </w:p>
        </w:tc>
        <w:tc>
          <w:tcPr>
            <w:tcW w:w="6378" w:type="dxa"/>
          </w:tcPr>
          <w:p w14:paraId="42159107" w14:textId="77844486" w:rsidR="00FA6806" w:rsidRDefault="00C34349" w:rsidP="00281725">
            <w:pPr>
              <w:jc w:val="both"/>
              <w:rPr>
                <w:rFonts w:ascii="Arial" w:eastAsia="Arial" w:hAnsi="Arial" w:cs="Arial"/>
                <w:color w:val="201F1E"/>
                <w:sz w:val="24"/>
                <w:szCs w:val="24"/>
              </w:rPr>
            </w:pPr>
            <w:r>
              <w:rPr>
                <w:rFonts w:ascii="Arial" w:eastAsia="Arial" w:hAnsi="Arial" w:cs="Arial"/>
                <w:color w:val="201F1E"/>
                <w:sz w:val="24"/>
                <w:szCs w:val="24"/>
              </w:rPr>
              <w:t>One on-call c</w:t>
            </w:r>
            <w:r w:rsidR="1612FDE0" w:rsidRPr="00353FC0">
              <w:rPr>
                <w:rFonts w:ascii="Arial" w:eastAsia="Arial" w:hAnsi="Arial" w:cs="Arial"/>
                <w:color w:val="201F1E"/>
                <w:sz w:val="24"/>
                <w:szCs w:val="24"/>
              </w:rPr>
              <w:t>onsultant e</w:t>
            </w:r>
            <w:r>
              <w:rPr>
                <w:rFonts w:ascii="Arial" w:eastAsia="Arial" w:hAnsi="Arial" w:cs="Arial"/>
                <w:color w:val="201F1E"/>
                <w:sz w:val="24"/>
                <w:szCs w:val="24"/>
              </w:rPr>
              <w:t>ach</w:t>
            </w:r>
            <w:r w:rsidR="1612FDE0" w:rsidRPr="00353FC0">
              <w:rPr>
                <w:rFonts w:ascii="Arial" w:eastAsia="Arial" w:hAnsi="Arial" w:cs="Arial"/>
                <w:color w:val="201F1E"/>
                <w:sz w:val="24"/>
                <w:szCs w:val="24"/>
              </w:rPr>
              <w:t xml:space="preserve"> week </w:t>
            </w:r>
            <w:r>
              <w:rPr>
                <w:rFonts w:ascii="Arial" w:eastAsia="Arial" w:hAnsi="Arial" w:cs="Arial"/>
                <w:color w:val="201F1E"/>
                <w:sz w:val="24"/>
                <w:szCs w:val="24"/>
              </w:rPr>
              <w:t>who leads the ward round on Mondays, Wednesdays and Fridays</w:t>
            </w:r>
            <w:r w:rsidR="1612FDE0" w:rsidRPr="00353FC0">
              <w:rPr>
                <w:rFonts w:ascii="Arial" w:eastAsia="Arial" w:hAnsi="Arial" w:cs="Arial"/>
                <w:color w:val="201F1E"/>
                <w:sz w:val="24"/>
                <w:szCs w:val="24"/>
              </w:rPr>
              <w:t xml:space="preserve">. </w:t>
            </w:r>
            <w:r>
              <w:rPr>
                <w:rFonts w:ascii="Arial" w:eastAsia="Arial" w:hAnsi="Arial" w:cs="Arial"/>
                <w:color w:val="201F1E"/>
                <w:sz w:val="24"/>
                <w:szCs w:val="24"/>
              </w:rPr>
              <w:t xml:space="preserve">Ward registrar led ward rounds on Tuesdays and Thursdays. </w:t>
            </w:r>
          </w:p>
          <w:p w14:paraId="2845CCA1" w14:textId="18C81162" w:rsidR="00015D80" w:rsidRDefault="00015D80" w:rsidP="00281725">
            <w:pPr>
              <w:jc w:val="both"/>
              <w:rPr>
                <w:rFonts w:ascii="Arial" w:eastAsia="Arial" w:hAnsi="Arial" w:cs="Arial"/>
                <w:color w:val="201F1E"/>
                <w:sz w:val="24"/>
                <w:szCs w:val="24"/>
              </w:rPr>
            </w:pPr>
          </w:p>
          <w:p w14:paraId="4E4FAEB9" w14:textId="1BE91476" w:rsidR="00015D80" w:rsidRPr="00353FC0" w:rsidRDefault="00015D80" w:rsidP="00190E10">
            <w:pPr>
              <w:rPr>
                <w:rFonts w:ascii="Arial" w:eastAsia="Arial" w:hAnsi="Arial" w:cs="Arial"/>
                <w:color w:val="201F1E"/>
                <w:sz w:val="24"/>
                <w:szCs w:val="24"/>
              </w:rPr>
            </w:pPr>
            <w:r>
              <w:rPr>
                <w:rFonts w:ascii="Arial" w:eastAsia="Arial" w:hAnsi="Arial" w:cs="Arial"/>
                <w:color w:val="201F1E"/>
                <w:sz w:val="24"/>
                <w:szCs w:val="24"/>
              </w:rPr>
              <w:t>Haematology Consultants: Dr Aldouri, Dr Osman, Dr Arnott, Dr Mendis, Dr Gurung, Dr French</w:t>
            </w:r>
          </w:p>
          <w:p w14:paraId="2711A928" w14:textId="3BB115A0" w:rsidR="00FA6806" w:rsidRPr="00353FC0" w:rsidRDefault="00FA6806" w:rsidP="00281725">
            <w:pPr>
              <w:jc w:val="both"/>
              <w:rPr>
                <w:rFonts w:ascii="Arial" w:eastAsia="Arial" w:hAnsi="Arial" w:cs="Arial"/>
                <w:color w:val="201F1E"/>
                <w:sz w:val="24"/>
                <w:szCs w:val="24"/>
              </w:rPr>
            </w:pPr>
          </w:p>
          <w:p w14:paraId="5DAB6C7B" w14:textId="6571007B" w:rsidR="00FA6806" w:rsidRPr="00353FC0" w:rsidRDefault="1612FDE0" w:rsidP="00281725">
            <w:pPr>
              <w:jc w:val="both"/>
              <w:rPr>
                <w:rFonts w:ascii="Arial" w:eastAsia="Arial" w:hAnsi="Arial" w:cs="Arial"/>
                <w:color w:val="201F1E"/>
                <w:sz w:val="24"/>
                <w:szCs w:val="24"/>
              </w:rPr>
            </w:pPr>
            <w:r w:rsidRPr="00353FC0">
              <w:rPr>
                <w:rFonts w:ascii="Arial" w:eastAsia="Arial" w:hAnsi="Arial" w:cs="Arial"/>
                <w:color w:val="201F1E"/>
                <w:sz w:val="24"/>
                <w:szCs w:val="24"/>
              </w:rPr>
              <w:t xml:space="preserve">Usually, </w:t>
            </w:r>
            <w:r w:rsidR="00C34349">
              <w:rPr>
                <w:rFonts w:ascii="Arial" w:eastAsia="Arial" w:hAnsi="Arial" w:cs="Arial"/>
                <w:color w:val="201F1E"/>
                <w:sz w:val="24"/>
                <w:szCs w:val="24"/>
              </w:rPr>
              <w:t>there is one FY1, one FY2 and a</w:t>
            </w:r>
            <w:r w:rsidR="00190E10">
              <w:rPr>
                <w:rFonts w:ascii="Arial" w:eastAsia="Arial" w:hAnsi="Arial" w:cs="Arial"/>
                <w:color w:val="201F1E"/>
                <w:sz w:val="24"/>
                <w:szCs w:val="24"/>
              </w:rPr>
              <w:t>n</w:t>
            </w:r>
            <w:r w:rsidR="00C34349">
              <w:rPr>
                <w:rFonts w:ascii="Arial" w:eastAsia="Arial" w:hAnsi="Arial" w:cs="Arial"/>
                <w:color w:val="201F1E"/>
                <w:sz w:val="24"/>
                <w:szCs w:val="24"/>
              </w:rPr>
              <w:t xml:space="preserve"> IMT in terms of junior doctors assigned to the rotation.</w:t>
            </w:r>
          </w:p>
        </w:tc>
      </w:tr>
    </w:tbl>
    <w:p w14:paraId="02EB378F" w14:textId="77777777" w:rsidR="00FA6806" w:rsidRDefault="00FA6806" w:rsidP="00FA6806">
      <w:pPr>
        <w:jc w:val="center"/>
        <w:rPr>
          <w:rFonts w:ascii="Arial" w:hAnsi="Arial" w:cs="Arial"/>
          <w:b/>
          <w:sz w:val="24"/>
        </w:rPr>
      </w:pPr>
    </w:p>
    <w:tbl>
      <w:tblPr>
        <w:tblStyle w:val="TableGrid"/>
        <w:tblW w:w="9067" w:type="dxa"/>
        <w:tblLook w:val="04A0" w:firstRow="1" w:lastRow="0" w:firstColumn="1" w:lastColumn="0" w:noHBand="0" w:noVBand="1"/>
      </w:tblPr>
      <w:tblGrid>
        <w:gridCol w:w="2662"/>
        <w:gridCol w:w="6405"/>
      </w:tblGrid>
      <w:tr w:rsidR="00FA6806" w14:paraId="148E4BAD" w14:textId="77777777" w:rsidTr="2DFB00BD">
        <w:trPr>
          <w:trHeight w:val="610"/>
        </w:trPr>
        <w:tc>
          <w:tcPr>
            <w:tcW w:w="2662" w:type="dxa"/>
          </w:tcPr>
          <w:p w14:paraId="4A8E04B4"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Different Roles / Type of uniform</w:t>
            </w:r>
          </w:p>
        </w:tc>
        <w:tc>
          <w:tcPr>
            <w:tcW w:w="6405" w:type="dxa"/>
          </w:tcPr>
          <w:p w14:paraId="6E7685BD" w14:textId="293DFCD4" w:rsidR="00FA6806" w:rsidRDefault="119FF73D" w:rsidP="00281725">
            <w:pPr>
              <w:jc w:val="both"/>
              <w:rPr>
                <w:rFonts w:ascii="Arial" w:hAnsi="Arial" w:cs="Arial"/>
                <w:sz w:val="24"/>
                <w:szCs w:val="24"/>
              </w:rPr>
            </w:pPr>
            <w:r w:rsidRPr="00353FC0">
              <w:rPr>
                <w:rFonts w:ascii="Arial" w:hAnsi="Arial" w:cs="Arial"/>
                <w:sz w:val="24"/>
                <w:szCs w:val="24"/>
              </w:rPr>
              <w:t xml:space="preserve">Head nurse – </w:t>
            </w:r>
            <w:r w:rsidR="00C34349">
              <w:rPr>
                <w:rFonts w:ascii="Arial" w:hAnsi="Arial" w:cs="Arial"/>
                <w:sz w:val="24"/>
                <w:szCs w:val="24"/>
              </w:rPr>
              <w:t>N</w:t>
            </w:r>
            <w:r w:rsidRPr="00353FC0">
              <w:rPr>
                <w:rFonts w:ascii="Arial" w:hAnsi="Arial" w:cs="Arial"/>
                <w:sz w:val="24"/>
                <w:szCs w:val="24"/>
              </w:rPr>
              <w:t>avy blue</w:t>
            </w:r>
            <w:r w:rsidR="00C34349">
              <w:rPr>
                <w:rFonts w:ascii="Arial" w:hAnsi="Arial" w:cs="Arial"/>
                <w:sz w:val="24"/>
                <w:szCs w:val="24"/>
              </w:rPr>
              <w:t xml:space="preserve"> (Lucy)</w:t>
            </w:r>
          </w:p>
          <w:p w14:paraId="2050A97A" w14:textId="1DE02226" w:rsidR="00C34349" w:rsidRPr="00353FC0" w:rsidRDefault="00C34349" w:rsidP="00281725">
            <w:pPr>
              <w:jc w:val="both"/>
              <w:rPr>
                <w:rFonts w:ascii="Arial" w:hAnsi="Arial" w:cs="Arial"/>
                <w:sz w:val="24"/>
                <w:szCs w:val="24"/>
              </w:rPr>
            </w:pPr>
            <w:r>
              <w:rPr>
                <w:rFonts w:ascii="Arial" w:hAnsi="Arial" w:cs="Arial"/>
                <w:sz w:val="24"/>
                <w:szCs w:val="24"/>
              </w:rPr>
              <w:t>Nurse – Blue</w:t>
            </w:r>
          </w:p>
          <w:p w14:paraId="03AA4572" w14:textId="494E518D" w:rsidR="00FA6806" w:rsidRPr="00353FC0" w:rsidRDefault="119FF73D" w:rsidP="00281725">
            <w:pPr>
              <w:jc w:val="both"/>
              <w:rPr>
                <w:rFonts w:ascii="Arial" w:hAnsi="Arial" w:cs="Arial"/>
                <w:sz w:val="24"/>
                <w:szCs w:val="24"/>
              </w:rPr>
            </w:pPr>
            <w:r w:rsidRPr="00353FC0">
              <w:rPr>
                <w:rFonts w:ascii="Arial" w:hAnsi="Arial" w:cs="Arial"/>
                <w:sz w:val="24"/>
                <w:szCs w:val="24"/>
              </w:rPr>
              <w:t xml:space="preserve">CSW – Grey </w:t>
            </w:r>
          </w:p>
          <w:p w14:paraId="57640A27" w14:textId="376E74FE" w:rsidR="00FA6806" w:rsidRPr="00353FC0" w:rsidRDefault="00C34349" w:rsidP="00281725">
            <w:pPr>
              <w:jc w:val="both"/>
              <w:rPr>
                <w:rFonts w:ascii="Arial" w:hAnsi="Arial" w:cs="Arial"/>
                <w:sz w:val="24"/>
                <w:szCs w:val="24"/>
              </w:rPr>
            </w:pPr>
            <w:r>
              <w:rPr>
                <w:rFonts w:ascii="Arial" w:hAnsi="Arial" w:cs="Arial"/>
                <w:sz w:val="24"/>
                <w:szCs w:val="24"/>
              </w:rPr>
              <w:t xml:space="preserve">Pharmacists </w:t>
            </w:r>
            <w:r w:rsidR="119FF73D" w:rsidRPr="00353FC0">
              <w:rPr>
                <w:rFonts w:ascii="Arial" w:hAnsi="Arial" w:cs="Arial"/>
                <w:sz w:val="24"/>
                <w:szCs w:val="24"/>
              </w:rPr>
              <w:t xml:space="preserve">– </w:t>
            </w:r>
            <w:r>
              <w:rPr>
                <w:rFonts w:ascii="Arial" w:hAnsi="Arial" w:cs="Arial"/>
                <w:sz w:val="24"/>
                <w:szCs w:val="24"/>
              </w:rPr>
              <w:t>Dark</w:t>
            </w:r>
            <w:r w:rsidR="119FF73D" w:rsidRPr="00353FC0">
              <w:rPr>
                <w:rFonts w:ascii="Arial" w:hAnsi="Arial" w:cs="Arial"/>
                <w:sz w:val="24"/>
                <w:szCs w:val="24"/>
              </w:rPr>
              <w:t xml:space="preserve"> green tunics</w:t>
            </w:r>
          </w:p>
          <w:p w14:paraId="6B1B647D" w14:textId="53C082AD" w:rsidR="00FA6806" w:rsidRPr="00353FC0" w:rsidRDefault="119FF73D" w:rsidP="00281725">
            <w:pPr>
              <w:jc w:val="both"/>
              <w:rPr>
                <w:rFonts w:ascii="Arial" w:hAnsi="Arial" w:cs="Arial"/>
                <w:sz w:val="24"/>
                <w:szCs w:val="24"/>
              </w:rPr>
            </w:pPr>
            <w:r w:rsidRPr="00353FC0">
              <w:rPr>
                <w:rFonts w:ascii="Arial" w:hAnsi="Arial" w:cs="Arial"/>
                <w:sz w:val="24"/>
                <w:szCs w:val="24"/>
              </w:rPr>
              <w:t xml:space="preserve">Physios – Light blue </w:t>
            </w:r>
            <w:r w:rsidR="00C34349">
              <w:rPr>
                <w:rFonts w:ascii="Arial" w:hAnsi="Arial" w:cs="Arial"/>
                <w:sz w:val="24"/>
                <w:szCs w:val="24"/>
              </w:rPr>
              <w:t>top</w:t>
            </w:r>
          </w:p>
          <w:p w14:paraId="6A05A809" w14:textId="7B17B973" w:rsidR="00FA6806" w:rsidRPr="00353FC0" w:rsidRDefault="119FF73D" w:rsidP="00281725">
            <w:pPr>
              <w:jc w:val="both"/>
              <w:rPr>
                <w:rFonts w:ascii="Arial" w:hAnsi="Arial" w:cs="Arial"/>
                <w:sz w:val="24"/>
                <w:szCs w:val="24"/>
              </w:rPr>
            </w:pPr>
            <w:r w:rsidRPr="00353FC0">
              <w:rPr>
                <w:rFonts w:ascii="Arial" w:hAnsi="Arial" w:cs="Arial"/>
                <w:sz w:val="24"/>
                <w:szCs w:val="24"/>
              </w:rPr>
              <w:t>OTs – White</w:t>
            </w:r>
            <w:r w:rsidR="00C34349">
              <w:rPr>
                <w:rFonts w:ascii="Arial" w:hAnsi="Arial" w:cs="Arial"/>
                <w:sz w:val="24"/>
                <w:szCs w:val="24"/>
              </w:rPr>
              <w:t xml:space="preserve"> top</w:t>
            </w:r>
          </w:p>
        </w:tc>
      </w:tr>
      <w:tr w:rsidR="00FA6806" w14:paraId="7F745432" w14:textId="77777777" w:rsidTr="2DFB00BD">
        <w:trPr>
          <w:trHeight w:val="648"/>
        </w:trPr>
        <w:tc>
          <w:tcPr>
            <w:tcW w:w="2662" w:type="dxa"/>
          </w:tcPr>
          <w:p w14:paraId="0B662399"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In charge / How to identify</w:t>
            </w:r>
          </w:p>
        </w:tc>
        <w:tc>
          <w:tcPr>
            <w:tcW w:w="6405" w:type="dxa"/>
          </w:tcPr>
          <w:p w14:paraId="5A39BBE3" w14:textId="295494D8" w:rsidR="00FA6806" w:rsidRPr="00353FC0" w:rsidRDefault="00ED0D8A" w:rsidP="00ED0D8A">
            <w:pPr>
              <w:jc w:val="both"/>
              <w:rPr>
                <w:rFonts w:ascii="Arial" w:hAnsi="Arial" w:cs="Arial"/>
                <w:sz w:val="24"/>
                <w:szCs w:val="24"/>
              </w:rPr>
            </w:pPr>
            <w:r>
              <w:rPr>
                <w:rFonts w:ascii="Arial" w:hAnsi="Arial" w:cs="Arial"/>
                <w:sz w:val="24"/>
                <w:szCs w:val="24"/>
              </w:rPr>
              <w:t>Lucy</w:t>
            </w:r>
            <w:r w:rsidR="00BA0F50">
              <w:rPr>
                <w:rFonts w:ascii="Arial" w:hAnsi="Arial" w:cs="Arial"/>
                <w:sz w:val="24"/>
                <w:szCs w:val="24"/>
              </w:rPr>
              <w:t xml:space="preserve"> Collins</w:t>
            </w:r>
            <w:r>
              <w:rPr>
                <w:rFonts w:ascii="Arial" w:hAnsi="Arial" w:cs="Arial"/>
                <w:sz w:val="24"/>
                <w:szCs w:val="24"/>
              </w:rPr>
              <w:t>, t</w:t>
            </w:r>
            <w:r w:rsidR="00811344">
              <w:rPr>
                <w:rFonts w:ascii="Arial" w:hAnsi="Arial" w:cs="Arial"/>
                <w:sz w:val="24"/>
                <w:szCs w:val="24"/>
              </w:rPr>
              <w:t>he n</w:t>
            </w:r>
            <w:r w:rsidR="3579B349" w:rsidRPr="00353FC0">
              <w:rPr>
                <w:rFonts w:ascii="Arial" w:hAnsi="Arial" w:cs="Arial"/>
                <w:sz w:val="24"/>
                <w:szCs w:val="24"/>
              </w:rPr>
              <w:t>urse</w:t>
            </w:r>
            <w:r w:rsidR="00811344">
              <w:rPr>
                <w:rFonts w:ascii="Arial" w:hAnsi="Arial" w:cs="Arial"/>
                <w:sz w:val="24"/>
                <w:szCs w:val="24"/>
              </w:rPr>
              <w:t>-</w:t>
            </w:r>
            <w:r w:rsidR="3579B349" w:rsidRPr="00353FC0">
              <w:rPr>
                <w:rFonts w:ascii="Arial" w:hAnsi="Arial" w:cs="Arial"/>
                <w:sz w:val="24"/>
                <w:szCs w:val="24"/>
              </w:rPr>
              <w:t>in</w:t>
            </w:r>
            <w:r w:rsidR="00811344">
              <w:rPr>
                <w:rFonts w:ascii="Arial" w:hAnsi="Arial" w:cs="Arial"/>
                <w:sz w:val="24"/>
                <w:szCs w:val="24"/>
              </w:rPr>
              <w:t>-</w:t>
            </w:r>
            <w:r w:rsidR="3579B349" w:rsidRPr="00353FC0">
              <w:rPr>
                <w:rFonts w:ascii="Arial" w:hAnsi="Arial" w:cs="Arial"/>
                <w:sz w:val="24"/>
                <w:szCs w:val="24"/>
              </w:rPr>
              <w:t>charge</w:t>
            </w:r>
            <w:r w:rsidR="00C34349">
              <w:rPr>
                <w:rFonts w:ascii="Arial" w:hAnsi="Arial" w:cs="Arial"/>
                <w:sz w:val="24"/>
                <w:szCs w:val="24"/>
              </w:rPr>
              <w:t xml:space="preserve">, usually </w:t>
            </w:r>
            <w:r w:rsidRPr="00353FC0">
              <w:rPr>
                <w:rFonts w:ascii="Arial" w:hAnsi="Arial" w:cs="Arial"/>
                <w:sz w:val="24"/>
                <w:szCs w:val="24"/>
              </w:rPr>
              <w:t xml:space="preserve">leads </w:t>
            </w:r>
            <w:r>
              <w:rPr>
                <w:rFonts w:ascii="Arial" w:hAnsi="Arial" w:cs="Arial"/>
                <w:sz w:val="24"/>
                <w:szCs w:val="24"/>
              </w:rPr>
              <w:t xml:space="preserve">the </w:t>
            </w:r>
            <w:r w:rsidRPr="00353FC0">
              <w:rPr>
                <w:rFonts w:ascii="Arial" w:hAnsi="Arial" w:cs="Arial"/>
                <w:sz w:val="24"/>
                <w:szCs w:val="24"/>
              </w:rPr>
              <w:t>board round every day</w:t>
            </w:r>
            <w:r>
              <w:rPr>
                <w:rFonts w:ascii="Arial" w:hAnsi="Arial" w:cs="Arial"/>
                <w:sz w:val="24"/>
                <w:szCs w:val="24"/>
              </w:rPr>
              <w:t xml:space="preserve"> except Wednesdays, when she is off.</w:t>
            </w:r>
            <w:r w:rsidR="00BA0F50">
              <w:rPr>
                <w:rFonts w:ascii="Arial" w:hAnsi="Arial" w:cs="Arial"/>
                <w:sz w:val="24"/>
                <w:szCs w:val="24"/>
              </w:rPr>
              <w:t xml:space="preserve"> Her office is the second door on the left as you walk into Lawrence.</w:t>
            </w:r>
          </w:p>
        </w:tc>
      </w:tr>
      <w:tr w:rsidR="00FA6806" w14:paraId="243298CF" w14:textId="77777777" w:rsidTr="2DFB00BD">
        <w:trPr>
          <w:trHeight w:val="966"/>
        </w:trPr>
        <w:tc>
          <w:tcPr>
            <w:tcW w:w="2662" w:type="dxa"/>
          </w:tcPr>
          <w:p w14:paraId="32105F7B"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Computer Systems</w:t>
            </w:r>
          </w:p>
          <w:p w14:paraId="494405CE" w14:textId="77777777" w:rsidR="00FA6806" w:rsidRPr="00281725" w:rsidRDefault="00FA6806" w:rsidP="00403B5C">
            <w:pPr>
              <w:pStyle w:val="ListParagraph"/>
              <w:numPr>
                <w:ilvl w:val="0"/>
                <w:numId w:val="8"/>
              </w:numPr>
              <w:spacing w:before="60" w:after="60"/>
              <w:rPr>
                <w:rFonts w:ascii="Arial" w:hAnsi="Arial" w:cs="Arial"/>
                <w:b/>
                <w:color w:val="5B9BD5" w:themeColor="accent1"/>
                <w:sz w:val="24"/>
              </w:rPr>
            </w:pPr>
            <w:r w:rsidRPr="00281725">
              <w:rPr>
                <w:rFonts w:ascii="Arial" w:hAnsi="Arial" w:cs="Arial"/>
                <w:b/>
                <w:color w:val="5B9BD5" w:themeColor="accent1"/>
                <w:sz w:val="24"/>
              </w:rPr>
              <w:t>Across the Trust / General</w:t>
            </w:r>
          </w:p>
        </w:tc>
        <w:tc>
          <w:tcPr>
            <w:tcW w:w="6405" w:type="dxa"/>
          </w:tcPr>
          <w:p w14:paraId="04B23C7F" w14:textId="324A0CE4" w:rsidR="00FA6806" w:rsidRPr="00353FC0" w:rsidRDefault="02A0C6FA" w:rsidP="00281725">
            <w:pPr>
              <w:pStyle w:val="ListParagraph"/>
              <w:numPr>
                <w:ilvl w:val="0"/>
                <w:numId w:val="7"/>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 xml:space="preserve">EPR – </w:t>
            </w:r>
            <w:r w:rsidRPr="00353FC0">
              <w:rPr>
                <w:rFonts w:ascii="Arial" w:eastAsia="Arial" w:hAnsi="Arial" w:cs="Arial"/>
                <w:color w:val="000000" w:themeColor="text1"/>
                <w:sz w:val="24"/>
                <w:szCs w:val="24"/>
              </w:rPr>
              <w:t xml:space="preserve">Patient records, prescribing medications, EDNs, referrals, etc. </w:t>
            </w:r>
          </w:p>
          <w:p w14:paraId="1C080ACE" w14:textId="7BB5E8C5" w:rsidR="00FA6806" w:rsidRPr="00353FC0" w:rsidRDefault="02A0C6FA" w:rsidP="00281725">
            <w:pPr>
              <w:pStyle w:val="ListParagraph"/>
              <w:numPr>
                <w:ilvl w:val="0"/>
                <w:numId w:val="7"/>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iLab</w:t>
            </w:r>
            <w:r w:rsidRPr="00353FC0">
              <w:rPr>
                <w:rFonts w:ascii="Arial" w:eastAsia="Arial" w:hAnsi="Arial" w:cs="Arial"/>
                <w:color w:val="000000" w:themeColor="text1"/>
                <w:sz w:val="24"/>
                <w:szCs w:val="24"/>
              </w:rPr>
              <w:t>: Results for bloods, cultures (urine, blood, sputum, stool), swabs (MRSA, COVID) etc.</w:t>
            </w:r>
          </w:p>
          <w:p w14:paraId="0BBC45A9" w14:textId="1B3F9805" w:rsidR="00FA6806" w:rsidRPr="00353FC0" w:rsidRDefault="02A0C6FA" w:rsidP="00281725">
            <w:pPr>
              <w:pStyle w:val="ListParagraph"/>
              <w:numPr>
                <w:ilvl w:val="0"/>
                <w:numId w:val="7"/>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PACS</w:t>
            </w:r>
            <w:r w:rsidRPr="00353FC0">
              <w:rPr>
                <w:rFonts w:ascii="Arial" w:eastAsia="Arial" w:hAnsi="Arial" w:cs="Arial"/>
                <w:color w:val="000000" w:themeColor="text1"/>
                <w:sz w:val="24"/>
                <w:szCs w:val="24"/>
              </w:rPr>
              <w:t>: For radiology scans.</w:t>
            </w:r>
          </w:p>
          <w:p w14:paraId="2F045D1A" w14:textId="7F1784AC" w:rsidR="00FA6806" w:rsidRDefault="02A0C6FA" w:rsidP="00281725">
            <w:pPr>
              <w:pStyle w:val="ListParagraph"/>
              <w:numPr>
                <w:ilvl w:val="0"/>
                <w:numId w:val="7"/>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 xml:space="preserve">DartOCM: </w:t>
            </w:r>
            <w:r w:rsidRPr="00353FC0">
              <w:rPr>
                <w:rFonts w:ascii="Arial" w:eastAsia="Arial" w:hAnsi="Arial" w:cs="Arial"/>
                <w:color w:val="000000" w:themeColor="text1"/>
                <w:sz w:val="24"/>
                <w:szCs w:val="24"/>
              </w:rPr>
              <w:t>To order investigations – scans, bloods, cultures, swabs etc. CT scans and MRIs are vetted by the on-call radiologist.</w:t>
            </w:r>
          </w:p>
          <w:p w14:paraId="72A3D3EC" w14:textId="5EFA3906" w:rsidR="00FA6806" w:rsidRPr="00ED0D8A" w:rsidRDefault="00015D80" w:rsidP="00ED0D8A">
            <w:pPr>
              <w:pStyle w:val="ListParagraph"/>
              <w:numPr>
                <w:ilvl w:val="0"/>
                <w:numId w:val="7"/>
              </w:numPr>
              <w:spacing w:line="259"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rPr>
              <w:t>Teams:</w:t>
            </w:r>
            <w:r>
              <w:rPr>
                <w:rFonts w:ascii="Arial" w:eastAsia="Arial" w:hAnsi="Arial" w:cs="Arial"/>
                <w:color w:val="000000" w:themeColor="text1"/>
                <w:sz w:val="24"/>
                <w:szCs w:val="24"/>
              </w:rPr>
              <w:t xml:space="preserve"> To store and update the ward list with patient details, diagnoses, blood results and treatment plans.</w:t>
            </w:r>
          </w:p>
        </w:tc>
      </w:tr>
      <w:tr w:rsidR="00FA6806" w14:paraId="52966613" w14:textId="77777777" w:rsidTr="2DFB00BD">
        <w:trPr>
          <w:trHeight w:val="938"/>
        </w:trPr>
        <w:tc>
          <w:tcPr>
            <w:tcW w:w="2662" w:type="dxa"/>
          </w:tcPr>
          <w:p w14:paraId="577BDF47"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 xml:space="preserve">Computer Systems </w:t>
            </w:r>
          </w:p>
          <w:p w14:paraId="40A2BC76" w14:textId="77777777" w:rsidR="00FA6806" w:rsidRPr="00281725" w:rsidRDefault="00FA6806" w:rsidP="00403B5C">
            <w:pPr>
              <w:pStyle w:val="ListParagraph"/>
              <w:numPr>
                <w:ilvl w:val="0"/>
                <w:numId w:val="8"/>
              </w:numPr>
              <w:spacing w:before="60" w:after="60"/>
              <w:rPr>
                <w:rFonts w:ascii="Arial" w:hAnsi="Arial" w:cs="Arial"/>
                <w:b/>
                <w:color w:val="5B9BD5" w:themeColor="accent1"/>
                <w:sz w:val="24"/>
              </w:rPr>
            </w:pPr>
            <w:r w:rsidRPr="00281725">
              <w:rPr>
                <w:rFonts w:ascii="Arial" w:hAnsi="Arial" w:cs="Arial"/>
                <w:b/>
                <w:color w:val="5B9BD5" w:themeColor="accent1"/>
                <w:sz w:val="24"/>
              </w:rPr>
              <w:t>Specific to department</w:t>
            </w:r>
          </w:p>
        </w:tc>
        <w:tc>
          <w:tcPr>
            <w:tcW w:w="6405" w:type="dxa"/>
          </w:tcPr>
          <w:p w14:paraId="0DC511DF" w14:textId="556A88DC" w:rsidR="00FA6806" w:rsidRPr="00353FC0" w:rsidRDefault="4DA132E4" w:rsidP="00281725">
            <w:pPr>
              <w:pStyle w:val="ListParagraph"/>
              <w:numPr>
                <w:ilvl w:val="0"/>
                <w:numId w:val="6"/>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 xml:space="preserve">KCH </w:t>
            </w:r>
            <w:r w:rsidR="00B87F08">
              <w:rPr>
                <w:rFonts w:ascii="Arial" w:eastAsia="Arial" w:hAnsi="Arial" w:cs="Arial"/>
                <w:b/>
                <w:bCs/>
                <w:color w:val="000000" w:themeColor="text1"/>
                <w:sz w:val="24"/>
                <w:szCs w:val="24"/>
              </w:rPr>
              <w:t>N</w:t>
            </w:r>
            <w:r w:rsidRPr="00353FC0">
              <w:rPr>
                <w:rFonts w:ascii="Arial" w:eastAsia="Arial" w:hAnsi="Arial" w:cs="Arial"/>
                <w:b/>
                <w:bCs/>
                <w:color w:val="000000" w:themeColor="text1"/>
                <w:sz w:val="24"/>
                <w:szCs w:val="24"/>
              </w:rPr>
              <w:t>eurosurgery</w:t>
            </w:r>
            <w:r w:rsidR="00B87F08">
              <w:rPr>
                <w:rFonts w:ascii="Arial" w:eastAsia="Arial" w:hAnsi="Arial" w:cs="Arial"/>
                <w:b/>
                <w:bCs/>
                <w:color w:val="000000" w:themeColor="text1"/>
                <w:sz w:val="24"/>
                <w:szCs w:val="24"/>
              </w:rPr>
              <w:t xml:space="preserve"> Portal</w:t>
            </w:r>
            <w:r w:rsidRPr="00353FC0">
              <w:rPr>
                <w:rFonts w:ascii="Arial" w:eastAsia="Arial" w:hAnsi="Arial" w:cs="Arial"/>
                <w:color w:val="000000" w:themeColor="text1"/>
                <w:sz w:val="24"/>
                <w:szCs w:val="24"/>
              </w:rPr>
              <w:t xml:space="preserve">: online referral portal if a patient presents with </w:t>
            </w:r>
            <w:r w:rsidR="00C34349">
              <w:rPr>
                <w:rFonts w:ascii="Arial" w:eastAsia="Arial" w:hAnsi="Arial" w:cs="Arial"/>
                <w:color w:val="000000" w:themeColor="text1"/>
                <w:sz w:val="24"/>
                <w:szCs w:val="24"/>
              </w:rPr>
              <w:t>MSCC</w:t>
            </w:r>
            <w:r w:rsidRPr="00353FC0">
              <w:rPr>
                <w:rFonts w:ascii="Arial" w:eastAsia="Arial" w:hAnsi="Arial" w:cs="Arial"/>
                <w:color w:val="000000" w:themeColor="text1"/>
                <w:sz w:val="24"/>
                <w:szCs w:val="24"/>
              </w:rPr>
              <w:t>.</w:t>
            </w:r>
          </w:p>
          <w:p w14:paraId="2E5441BC" w14:textId="7E515881" w:rsidR="00FA6806" w:rsidRPr="00353FC0" w:rsidRDefault="4DA132E4" w:rsidP="00281725">
            <w:pPr>
              <w:pStyle w:val="ListParagraph"/>
              <w:numPr>
                <w:ilvl w:val="0"/>
                <w:numId w:val="6"/>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Solus</w:t>
            </w:r>
            <w:r w:rsidRPr="00353FC0">
              <w:rPr>
                <w:rFonts w:ascii="Arial" w:eastAsia="Arial" w:hAnsi="Arial" w:cs="Arial"/>
                <w:color w:val="000000" w:themeColor="text1"/>
                <w:sz w:val="24"/>
                <w:szCs w:val="24"/>
              </w:rPr>
              <w:t xml:space="preserve">: reports for cardiology specific investigations (24hr tapes, ECHO, lung function tests, sleep study tests) - </w:t>
            </w:r>
            <w:r w:rsidRPr="00353FC0">
              <w:rPr>
                <w:rFonts w:ascii="Arial" w:eastAsia="Arial" w:hAnsi="Arial" w:cs="Arial"/>
                <w:i/>
                <w:iCs/>
                <w:color w:val="000000" w:themeColor="text1"/>
                <w:sz w:val="24"/>
                <w:szCs w:val="24"/>
              </w:rPr>
              <w:t>email line manager for access</w:t>
            </w:r>
            <w:r w:rsidRPr="00353FC0">
              <w:rPr>
                <w:rFonts w:ascii="Arial" w:eastAsia="Arial" w:hAnsi="Arial" w:cs="Arial"/>
                <w:color w:val="000000" w:themeColor="text1"/>
                <w:sz w:val="24"/>
                <w:szCs w:val="24"/>
              </w:rPr>
              <w:t>.</w:t>
            </w:r>
          </w:p>
          <w:p w14:paraId="0D0B940D" w14:textId="7BF8929D" w:rsidR="00FA6806" w:rsidRPr="00ED0D8A" w:rsidRDefault="4DA132E4" w:rsidP="00ED0D8A">
            <w:pPr>
              <w:pStyle w:val="ListParagraph"/>
              <w:numPr>
                <w:ilvl w:val="0"/>
                <w:numId w:val="5"/>
              </w:numPr>
              <w:spacing w:line="259" w:lineRule="auto"/>
              <w:jc w:val="both"/>
              <w:rPr>
                <w:rFonts w:ascii="Arial" w:eastAsia="Arial" w:hAnsi="Arial" w:cs="Arial"/>
                <w:color w:val="000000" w:themeColor="text1"/>
                <w:sz w:val="24"/>
                <w:szCs w:val="24"/>
              </w:rPr>
            </w:pPr>
            <w:r w:rsidRPr="00353FC0">
              <w:rPr>
                <w:rFonts w:ascii="Arial" w:eastAsia="Arial" w:hAnsi="Arial" w:cs="Arial"/>
                <w:b/>
                <w:bCs/>
                <w:color w:val="000000" w:themeColor="text1"/>
                <w:sz w:val="24"/>
                <w:szCs w:val="24"/>
              </w:rPr>
              <w:t>Endoweb:</w:t>
            </w:r>
            <w:r w:rsidRPr="00353FC0">
              <w:rPr>
                <w:rFonts w:ascii="Arial" w:eastAsia="Arial" w:hAnsi="Arial" w:cs="Arial"/>
                <w:color w:val="000000" w:themeColor="text1"/>
                <w:sz w:val="24"/>
                <w:szCs w:val="24"/>
              </w:rPr>
              <w:t xml:space="preserve"> For endoscopy reports.</w:t>
            </w:r>
          </w:p>
        </w:tc>
      </w:tr>
      <w:tr w:rsidR="00FA6806" w14:paraId="40357668" w14:textId="77777777" w:rsidTr="2DFB00BD">
        <w:trPr>
          <w:trHeight w:val="400"/>
        </w:trPr>
        <w:tc>
          <w:tcPr>
            <w:tcW w:w="2662" w:type="dxa"/>
          </w:tcPr>
          <w:p w14:paraId="063AAF8F"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Induction</w:t>
            </w:r>
          </w:p>
        </w:tc>
        <w:tc>
          <w:tcPr>
            <w:tcW w:w="6405" w:type="dxa"/>
          </w:tcPr>
          <w:p w14:paraId="0E27B00A" w14:textId="5B4DBD75" w:rsidR="00FA6806" w:rsidRPr="00353FC0" w:rsidRDefault="1B5B91DC" w:rsidP="00281725">
            <w:pPr>
              <w:jc w:val="both"/>
              <w:rPr>
                <w:rFonts w:ascii="Arial" w:hAnsi="Arial" w:cs="Arial"/>
                <w:sz w:val="24"/>
                <w:szCs w:val="24"/>
              </w:rPr>
            </w:pPr>
            <w:r w:rsidRPr="00353FC0">
              <w:rPr>
                <w:rFonts w:ascii="Arial" w:hAnsi="Arial" w:cs="Arial"/>
                <w:sz w:val="24"/>
                <w:szCs w:val="24"/>
              </w:rPr>
              <w:t xml:space="preserve">Induction is done by the </w:t>
            </w:r>
            <w:r w:rsidR="00C34349">
              <w:rPr>
                <w:rFonts w:ascii="Arial" w:hAnsi="Arial" w:cs="Arial"/>
                <w:sz w:val="24"/>
                <w:szCs w:val="24"/>
              </w:rPr>
              <w:t xml:space="preserve">on-call </w:t>
            </w:r>
            <w:r w:rsidRPr="00353FC0">
              <w:rPr>
                <w:rFonts w:ascii="Arial" w:hAnsi="Arial" w:cs="Arial"/>
                <w:sz w:val="24"/>
                <w:szCs w:val="24"/>
              </w:rPr>
              <w:t>consultant in your first week and involves going through available services, schedules and teachin</w:t>
            </w:r>
            <w:r w:rsidR="5A613B34" w:rsidRPr="00353FC0">
              <w:rPr>
                <w:rFonts w:ascii="Arial" w:hAnsi="Arial" w:cs="Arial"/>
                <w:sz w:val="24"/>
                <w:szCs w:val="24"/>
              </w:rPr>
              <w:t>g</w:t>
            </w:r>
            <w:r w:rsidR="00C34349">
              <w:rPr>
                <w:rFonts w:ascii="Arial" w:hAnsi="Arial" w:cs="Arial"/>
                <w:sz w:val="24"/>
                <w:szCs w:val="24"/>
              </w:rPr>
              <w:t>. The service manager Elisabet Sanchez will also make herself known to you during the first week.</w:t>
            </w:r>
          </w:p>
        </w:tc>
      </w:tr>
      <w:tr w:rsidR="00FA6806" w14:paraId="5823D2A6" w14:textId="77777777" w:rsidTr="2DFB00BD">
        <w:trPr>
          <w:trHeight w:val="400"/>
        </w:trPr>
        <w:tc>
          <w:tcPr>
            <w:tcW w:w="2662" w:type="dxa"/>
          </w:tcPr>
          <w:p w14:paraId="503050C2"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Board rounds</w:t>
            </w:r>
          </w:p>
        </w:tc>
        <w:tc>
          <w:tcPr>
            <w:tcW w:w="6405" w:type="dxa"/>
          </w:tcPr>
          <w:p w14:paraId="60061E4C" w14:textId="783E922D" w:rsidR="00FA6806" w:rsidRPr="00C34349" w:rsidRDefault="00C34349" w:rsidP="00281725">
            <w:pPr>
              <w:jc w:val="both"/>
              <w:rPr>
                <w:rFonts w:ascii="Arial" w:eastAsia="Arial" w:hAnsi="Arial" w:cs="Arial"/>
                <w:color w:val="201F1E"/>
                <w:sz w:val="24"/>
                <w:szCs w:val="24"/>
              </w:rPr>
            </w:pPr>
            <w:r>
              <w:rPr>
                <w:rFonts w:ascii="Arial" w:eastAsia="Arial" w:hAnsi="Arial" w:cs="Arial"/>
                <w:color w:val="201F1E"/>
                <w:sz w:val="24"/>
                <w:szCs w:val="24"/>
              </w:rPr>
              <w:t>First thing in the morning at 9am</w:t>
            </w:r>
            <w:r w:rsidR="5FC69DB2" w:rsidRPr="00353FC0">
              <w:rPr>
                <w:rFonts w:ascii="Arial" w:eastAsia="Arial" w:hAnsi="Arial" w:cs="Arial"/>
                <w:color w:val="201F1E"/>
                <w:sz w:val="24"/>
                <w:szCs w:val="24"/>
              </w:rPr>
              <w:t xml:space="preserve">, </w:t>
            </w:r>
            <w:r>
              <w:rPr>
                <w:rFonts w:ascii="Arial" w:eastAsia="Arial" w:hAnsi="Arial" w:cs="Arial"/>
                <w:color w:val="201F1E"/>
                <w:sz w:val="24"/>
                <w:szCs w:val="24"/>
              </w:rPr>
              <w:t xml:space="preserve">nurse-in-charge will lead the board round and this is an opportunity to </w:t>
            </w:r>
            <w:r w:rsidR="5FC69DB2" w:rsidRPr="00353FC0">
              <w:rPr>
                <w:rFonts w:ascii="Arial" w:eastAsia="Arial" w:hAnsi="Arial" w:cs="Arial"/>
                <w:color w:val="201F1E"/>
                <w:sz w:val="24"/>
                <w:szCs w:val="24"/>
              </w:rPr>
              <w:t>for all members of the MDT to clarify plans</w:t>
            </w:r>
            <w:r w:rsidR="00811344">
              <w:rPr>
                <w:rFonts w:ascii="Arial" w:eastAsia="Arial" w:hAnsi="Arial" w:cs="Arial"/>
                <w:color w:val="201F1E"/>
                <w:sz w:val="24"/>
                <w:szCs w:val="24"/>
              </w:rPr>
              <w:t xml:space="preserve"> as well as l</w:t>
            </w:r>
            <w:r w:rsidR="00811344" w:rsidRPr="00353FC0">
              <w:rPr>
                <w:rFonts w:ascii="Arial" w:eastAsia="Arial" w:hAnsi="Arial" w:cs="Arial"/>
                <w:color w:val="201F1E"/>
                <w:sz w:val="24"/>
                <w:szCs w:val="24"/>
              </w:rPr>
              <w:t>iaise</w:t>
            </w:r>
            <w:r w:rsidR="5FC69DB2" w:rsidRPr="00353FC0">
              <w:rPr>
                <w:rFonts w:ascii="Arial" w:eastAsia="Arial" w:hAnsi="Arial" w:cs="Arial"/>
                <w:color w:val="201F1E"/>
                <w:sz w:val="24"/>
                <w:szCs w:val="24"/>
              </w:rPr>
              <w:t xml:space="preserve"> with one another regarding treatment plans</w:t>
            </w:r>
            <w:r w:rsidR="00811344">
              <w:rPr>
                <w:rFonts w:ascii="Arial" w:eastAsia="Arial" w:hAnsi="Arial" w:cs="Arial"/>
                <w:color w:val="201F1E"/>
                <w:sz w:val="24"/>
                <w:szCs w:val="24"/>
              </w:rPr>
              <w:t>, updates from the night team</w:t>
            </w:r>
            <w:r w:rsidR="5FC69DB2" w:rsidRPr="00353FC0">
              <w:rPr>
                <w:rFonts w:ascii="Arial" w:eastAsia="Arial" w:hAnsi="Arial" w:cs="Arial"/>
                <w:color w:val="201F1E"/>
                <w:sz w:val="24"/>
                <w:szCs w:val="24"/>
              </w:rPr>
              <w:t xml:space="preserve"> and discharge planning. </w:t>
            </w:r>
          </w:p>
        </w:tc>
      </w:tr>
      <w:tr w:rsidR="00FA6806" w14:paraId="75949E49" w14:textId="77777777" w:rsidTr="2DFB00BD">
        <w:trPr>
          <w:trHeight w:val="662"/>
        </w:trPr>
        <w:tc>
          <w:tcPr>
            <w:tcW w:w="2662" w:type="dxa"/>
          </w:tcPr>
          <w:p w14:paraId="3E2C1974"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Departmental Teaching</w:t>
            </w:r>
          </w:p>
        </w:tc>
        <w:tc>
          <w:tcPr>
            <w:tcW w:w="6405" w:type="dxa"/>
          </w:tcPr>
          <w:p w14:paraId="44EAFD9C" w14:textId="31B67AC7" w:rsidR="00FA6806" w:rsidRPr="00811344" w:rsidRDefault="00811344" w:rsidP="00281725">
            <w:pPr>
              <w:jc w:val="both"/>
              <w:rPr>
                <w:rFonts w:ascii="Arial" w:eastAsia="Arial" w:hAnsi="Arial" w:cs="Arial"/>
                <w:color w:val="201F1E"/>
                <w:sz w:val="24"/>
              </w:rPr>
            </w:pPr>
            <w:r>
              <w:rPr>
                <w:rFonts w:ascii="Arial" w:eastAsia="Arial" w:hAnsi="Arial" w:cs="Arial"/>
                <w:color w:val="201F1E"/>
                <w:sz w:val="24"/>
              </w:rPr>
              <w:t xml:space="preserve">There is an MDM every Friday morning at 9am. Additionally, there is teaching </w:t>
            </w:r>
            <w:r w:rsidR="00015D80">
              <w:rPr>
                <w:rFonts w:ascii="Arial" w:eastAsia="Arial" w:hAnsi="Arial" w:cs="Arial"/>
                <w:color w:val="201F1E"/>
                <w:sz w:val="24"/>
              </w:rPr>
              <w:t>every</w:t>
            </w:r>
            <w:r>
              <w:rPr>
                <w:rFonts w:ascii="Arial" w:eastAsia="Arial" w:hAnsi="Arial" w:cs="Arial"/>
                <w:color w:val="201F1E"/>
                <w:sz w:val="24"/>
              </w:rPr>
              <w:t xml:space="preserve"> week </w:t>
            </w:r>
            <w:r w:rsidR="00015D80">
              <w:rPr>
                <w:rFonts w:ascii="Arial" w:eastAsia="Arial" w:hAnsi="Arial" w:cs="Arial"/>
                <w:color w:val="201F1E"/>
                <w:sz w:val="24"/>
              </w:rPr>
              <w:t xml:space="preserve">on the ward, </w:t>
            </w:r>
            <w:r>
              <w:rPr>
                <w:rFonts w:ascii="Arial" w:eastAsia="Arial" w:hAnsi="Arial" w:cs="Arial"/>
                <w:color w:val="201F1E"/>
                <w:sz w:val="24"/>
              </w:rPr>
              <w:t>organised on an ad-hoc basis by the consultant in charge</w:t>
            </w:r>
            <w:r w:rsidR="00015D80">
              <w:rPr>
                <w:rFonts w:ascii="Arial" w:eastAsia="Arial" w:hAnsi="Arial" w:cs="Arial"/>
                <w:color w:val="201F1E"/>
                <w:sz w:val="24"/>
              </w:rPr>
              <w:t>, usually on a Friday afternoon</w:t>
            </w:r>
            <w:r>
              <w:rPr>
                <w:rFonts w:ascii="Arial" w:eastAsia="Arial" w:hAnsi="Arial" w:cs="Arial"/>
                <w:color w:val="201F1E"/>
                <w:sz w:val="24"/>
              </w:rPr>
              <w:t xml:space="preserve">. </w:t>
            </w:r>
          </w:p>
        </w:tc>
      </w:tr>
      <w:tr w:rsidR="00FA6806" w14:paraId="5561FB98" w14:textId="77777777" w:rsidTr="2DFB00BD">
        <w:trPr>
          <w:trHeight w:val="975"/>
        </w:trPr>
        <w:tc>
          <w:tcPr>
            <w:tcW w:w="2662" w:type="dxa"/>
          </w:tcPr>
          <w:p w14:paraId="3A1609FC" w14:textId="273BBF59" w:rsidR="00FA6806" w:rsidRPr="00281725" w:rsidRDefault="00FA6806" w:rsidP="00281725">
            <w:pPr>
              <w:spacing w:before="60" w:after="60"/>
              <w:rPr>
                <w:rFonts w:ascii="Arial" w:hAnsi="Arial" w:cs="Arial"/>
                <w:b/>
                <w:color w:val="5B9BD5" w:themeColor="accent1"/>
                <w:sz w:val="24"/>
              </w:rPr>
            </w:pPr>
            <w:r w:rsidRPr="00281725">
              <w:rPr>
                <w:rFonts w:ascii="Arial" w:hAnsi="Arial" w:cs="Arial"/>
                <w:b/>
                <w:color w:val="5B9BD5" w:themeColor="accent1"/>
                <w:sz w:val="24"/>
              </w:rPr>
              <w:t>Shift patterns</w:t>
            </w:r>
          </w:p>
        </w:tc>
        <w:tc>
          <w:tcPr>
            <w:tcW w:w="6405" w:type="dxa"/>
          </w:tcPr>
          <w:p w14:paraId="4B94D5A5" w14:textId="4CF71A68" w:rsidR="00FA6806" w:rsidRPr="00811344" w:rsidRDefault="00811344" w:rsidP="00281725">
            <w:pPr>
              <w:jc w:val="both"/>
              <w:rPr>
                <w:rFonts w:ascii="Arial" w:eastAsia="Arial" w:hAnsi="Arial" w:cs="Arial"/>
                <w:color w:val="201F1E"/>
                <w:sz w:val="24"/>
              </w:rPr>
            </w:pPr>
            <w:r>
              <w:rPr>
                <w:rFonts w:ascii="Arial" w:eastAsia="Arial" w:hAnsi="Arial" w:cs="Arial"/>
                <w:color w:val="201F1E"/>
                <w:sz w:val="24"/>
              </w:rPr>
              <w:t xml:space="preserve">You will be on a </w:t>
            </w:r>
            <w:r w:rsidRPr="00811344">
              <w:rPr>
                <w:rFonts w:ascii="Arial" w:eastAsia="Arial" w:hAnsi="Arial" w:cs="Arial"/>
                <w:color w:val="201F1E"/>
                <w:sz w:val="24"/>
              </w:rPr>
              <w:t>supernumerary</w:t>
            </w:r>
            <w:r>
              <w:rPr>
                <w:rFonts w:ascii="Arial" w:eastAsia="Arial" w:hAnsi="Arial" w:cs="Arial"/>
                <w:color w:val="201F1E"/>
                <w:sz w:val="24"/>
              </w:rPr>
              <w:t xml:space="preserve"> rota and thus are scheduled to work Monday to Friday 9am to 5pm every week. Elisabet Sanchez will be your first port-of-call for any issues and for sorting out annual leave/study leave. </w:t>
            </w:r>
          </w:p>
        </w:tc>
      </w:tr>
      <w:tr w:rsidR="00FA6806" w14:paraId="348E6847" w14:textId="77777777" w:rsidTr="2DFB00BD">
        <w:trPr>
          <w:trHeight w:val="675"/>
        </w:trPr>
        <w:tc>
          <w:tcPr>
            <w:tcW w:w="2662" w:type="dxa"/>
          </w:tcPr>
          <w:p w14:paraId="699BFB18"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The typical day / What to expect</w:t>
            </w:r>
          </w:p>
        </w:tc>
        <w:tc>
          <w:tcPr>
            <w:tcW w:w="6405" w:type="dxa"/>
          </w:tcPr>
          <w:p w14:paraId="48A82BE9" w14:textId="5DB988C6" w:rsidR="00FA6806" w:rsidRPr="002D18B1" w:rsidRDefault="002D18B1" w:rsidP="00281725">
            <w:pPr>
              <w:jc w:val="both"/>
              <w:rPr>
                <w:rFonts w:ascii="Arial" w:eastAsia="Arial" w:hAnsi="Arial" w:cs="Arial"/>
                <w:color w:val="201F1E"/>
                <w:sz w:val="24"/>
              </w:rPr>
            </w:pPr>
            <w:r>
              <w:rPr>
                <w:rFonts w:ascii="Arial" w:eastAsia="Arial" w:hAnsi="Arial" w:cs="Arial"/>
                <w:b/>
                <w:bCs/>
                <w:color w:val="201F1E"/>
                <w:sz w:val="24"/>
              </w:rPr>
              <w:t>Morning Rounds</w:t>
            </w:r>
            <w:r w:rsidR="6FEBC873" w:rsidRPr="00353FC0">
              <w:rPr>
                <w:rFonts w:ascii="Arial" w:eastAsia="Arial" w:hAnsi="Arial" w:cs="Arial"/>
                <w:b/>
                <w:bCs/>
                <w:color w:val="201F1E"/>
                <w:sz w:val="24"/>
              </w:rPr>
              <w:t xml:space="preserve">: </w:t>
            </w:r>
            <w:r w:rsidRPr="00015D80">
              <w:rPr>
                <w:rFonts w:ascii="Arial" w:eastAsia="Arial" w:hAnsi="Arial" w:cs="Arial"/>
                <w:color w:val="201F1E"/>
                <w:sz w:val="24"/>
              </w:rPr>
              <w:t xml:space="preserve">Board round starts at 9am and the team goes through the entire patient list with the </w:t>
            </w:r>
            <w:r>
              <w:rPr>
                <w:rFonts w:ascii="Arial" w:eastAsia="Arial" w:hAnsi="Arial" w:cs="Arial"/>
                <w:color w:val="201F1E"/>
                <w:sz w:val="24"/>
              </w:rPr>
              <w:t>nurse-in-charge</w:t>
            </w:r>
            <w:r w:rsidRPr="00015D80">
              <w:rPr>
                <w:rFonts w:ascii="Arial" w:eastAsia="Arial" w:hAnsi="Arial" w:cs="Arial"/>
                <w:color w:val="201F1E"/>
                <w:sz w:val="24"/>
              </w:rPr>
              <w:t xml:space="preserve">, PT/OT, dieticians, </w:t>
            </w:r>
            <w:r>
              <w:rPr>
                <w:rFonts w:ascii="Arial" w:eastAsia="Arial" w:hAnsi="Arial" w:cs="Arial"/>
                <w:color w:val="201F1E"/>
                <w:sz w:val="24"/>
              </w:rPr>
              <w:t>CNS and Macmillan Social Workers</w:t>
            </w:r>
            <w:r w:rsidRPr="00015D80">
              <w:rPr>
                <w:rFonts w:ascii="Arial" w:eastAsia="Arial" w:hAnsi="Arial" w:cs="Arial"/>
                <w:color w:val="201F1E"/>
                <w:sz w:val="24"/>
              </w:rPr>
              <w:t xml:space="preserve">. </w:t>
            </w:r>
            <w:r>
              <w:rPr>
                <w:rFonts w:ascii="Arial" w:eastAsia="Arial" w:hAnsi="Arial" w:cs="Arial"/>
                <w:color w:val="201F1E"/>
                <w:sz w:val="24"/>
              </w:rPr>
              <w:t>It is your job to update the teams list beforehand and print it out for all the doctors present at the board round. You then go straight into the ward round afterwards. To make your life easier have two tabs open on Microsoft Edge for PACS and iLab as well as EPR for documentation throughout the ward round. The ward round usually start</w:t>
            </w:r>
            <w:r w:rsidR="00190E10">
              <w:rPr>
                <w:rFonts w:ascii="Arial" w:eastAsia="Arial" w:hAnsi="Arial" w:cs="Arial"/>
                <w:color w:val="201F1E"/>
                <w:sz w:val="24"/>
              </w:rPr>
              <w:t>s</w:t>
            </w:r>
            <w:r>
              <w:rPr>
                <w:rFonts w:ascii="Arial" w:eastAsia="Arial" w:hAnsi="Arial" w:cs="Arial"/>
                <w:color w:val="201F1E"/>
                <w:sz w:val="24"/>
              </w:rPr>
              <w:t xml:space="preserve"> with the sickest patient or if no patient is obviously sicker than the rest, any new patient. </w:t>
            </w:r>
            <w:r w:rsidR="00281725" w:rsidRPr="00281725">
              <w:rPr>
                <w:rFonts w:ascii="Arial" w:eastAsia="Arial" w:hAnsi="Arial" w:cs="Arial"/>
                <w:color w:val="201F1E"/>
                <w:sz w:val="24"/>
              </w:rPr>
              <w:t>Take notes on the patient list for jobs that come up for each patient. Make sure to document the plan on the ward entry so that other staff are aware as well.</w:t>
            </w:r>
          </w:p>
          <w:p w14:paraId="689721EC" w14:textId="623D679A" w:rsidR="00FA6806" w:rsidRPr="00353FC0" w:rsidRDefault="00FA6806" w:rsidP="00281725">
            <w:pPr>
              <w:jc w:val="both"/>
              <w:rPr>
                <w:rFonts w:ascii="Arial" w:eastAsia="Arial" w:hAnsi="Arial" w:cs="Arial"/>
                <w:color w:val="201F1E"/>
                <w:sz w:val="24"/>
              </w:rPr>
            </w:pPr>
          </w:p>
          <w:p w14:paraId="5DB102C3" w14:textId="32C331B8" w:rsidR="00281725" w:rsidRPr="00281725" w:rsidRDefault="6FEBC873" w:rsidP="00281725">
            <w:pPr>
              <w:jc w:val="both"/>
              <w:rPr>
                <w:rFonts w:ascii="Arial" w:eastAsia="Arial" w:hAnsi="Arial" w:cs="Arial"/>
                <w:color w:val="5B9BD5" w:themeColor="accent1"/>
                <w:sz w:val="24"/>
              </w:rPr>
            </w:pPr>
            <w:r w:rsidRPr="00353FC0">
              <w:rPr>
                <w:rFonts w:ascii="Arial" w:eastAsia="Arial" w:hAnsi="Arial" w:cs="Arial"/>
                <w:b/>
                <w:bCs/>
                <w:color w:val="201F1E"/>
                <w:sz w:val="24"/>
              </w:rPr>
              <w:t>After the ward round:</w:t>
            </w:r>
            <w:r w:rsidRPr="00353FC0">
              <w:rPr>
                <w:rFonts w:ascii="Arial" w:eastAsia="Arial" w:hAnsi="Arial" w:cs="Arial"/>
                <w:color w:val="201F1E"/>
                <w:sz w:val="24"/>
              </w:rPr>
              <w:t xml:space="preserve"> </w:t>
            </w:r>
            <w:r w:rsidR="00281725" w:rsidRPr="00281725">
              <w:rPr>
                <w:rFonts w:ascii="Arial" w:eastAsia="Arial" w:hAnsi="Arial" w:cs="Arial"/>
                <w:color w:val="000000" w:themeColor="text1"/>
                <w:sz w:val="24"/>
              </w:rPr>
              <w:t xml:space="preserve">Notify the nurse responsible for each patient regarding treatment plans or updates regarding discharge. You also must make the pharmacists on the ward aware of any plans for discharge by either speaking to them or calling them on 4309. </w:t>
            </w:r>
          </w:p>
          <w:p w14:paraId="06E97C48" w14:textId="6AC3DC1D" w:rsidR="00281725" w:rsidRDefault="00281725" w:rsidP="00281725">
            <w:pPr>
              <w:jc w:val="both"/>
              <w:rPr>
                <w:rFonts w:ascii="Arial" w:eastAsia="Arial" w:hAnsi="Arial" w:cs="Arial"/>
                <w:color w:val="5B9BD5" w:themeColor="accent1"/>
                <w:sz w:val="24"/>
              </w:rPr>
            </w:pPr>
          </w:p>
          <w:p w14:paraId="765EE9F4" w14:textId="256AEB16" w:rsidR="00B227EB" w:rsidRPr="00B227EB" w:rsidRDefault="6FEBC873" w:rsidP="00B227EB">
            <w:pPr>
              <w:jc w:val="both"/>
              <w:rPr>
                <w:rFonts w:ascii="Arial" w:eastAsia="Arial" w:hAnsi="Arial" w:cs="Arial"/>
                <w:color w:val="000000" w:themeColor="text1"/>
                <w:sz w:val="24"/>
              </w:rPr>
            </w:pPr>
            <w:r w:rsidRPr="00B227EB">
              <w:rPr>
                <w:rFonts w:ascii="Arial" w:eastAsia="Arial" w:hAnsi="Arial" w:cs="Arial"/>
                <w:color w:val="000000" w:themeColor="text1"/>
                <w:sz w:val="24"/>
              </w:rPr>
              <w:t xml:space="preserve">Prioritise jobs in order of importance and urgency for each patient. </w:t>
            </w:r>
            <w:r w:rsidR="00B227EB" w:rsidRPr="00B227EB">
              <w:rPr>
                <w:rFonts w:ascii="Arial" w:eastAsia="Arial" w:hAnsi="Arial" w:cs="Arial"/>
                <w:color w:val="000000" w:themeColor="text1"/>
                <w:sz w:val="24"/>
              </w:rPr>
              <w:t xml:space="preserve">Blood products should be ordered first thing after the ward round finishes, with any In-reach referrals second as they have to be completed before 1pm. </w:t>
            </w:r>
            <w:r w:rsidRPr="00B227EB">
              <w:rPr>
                <w:rFonts w:ascii="Arial" w:eastAsia="Arial" w:hAnsi="Arial" w:cs="Arial"/>
                <w:color w:val="000000" w:themeColor="text1"/>
                <w:sz w:val="24"/>
              </w:rPr>
              <w:t>EDNs that require TTOs</w:t>
            </w:r>
            <w:r w:rsidR="00B227EB" w:rsidRPr="00B227EB">
              <w:rPr>
                <w:rFonts w:ascii="Arial" w:eastAsia="Arial" w:hAnsi="Arial" w:cs="Arial"/>
                <w:color w:val="000000" w:themeColor="text1"/>
                <w:sz w:val="24"/>
              </w:rPr>
              <w:t xml:space="preserve"> (vast majority)</w:t>
            </w:r>
            <w:r w:rsidRPr="00B227EB">
              <w:rPr>
                <w:rFonts w:ascii="Arial" w:eastAsia="Arial" w:hAnsi="Arial" w:cs="Arial"/>
                <w:color w:val="000000" w:themeColor="text1"/>
                <w:sz w:val="24"/>
              </w:rPr>
              <w:t xml:space="preserve"> need to be completed before </w:t>
            </w:r>
            <w:r w:rsidR="00281725" w:rsidRPr="00B227EB">
              <w:rPr>
                <w:rFonts w:ascii="Arial" w:eastAsia="Arial" w:hAnsi="Arial" w:cs="Arial"/>
                <w:color w:val="000000" w:themeColor="text1"/>
                <w:sz w:val="24"/>
              </w:rPr>
              <w:t>3</w:t>
            </w:r>
            <w:r w:rsidRPr="00B227EB">
              <w:rPr>
                <w:rFonts w:ascii="Arial" w:eastAsia="Arial" w:hAnsi="Arial" w:cs="Arial"/>
                <w:color w:val="000000" w:themeColor="text1"/>
                <w:sz w:val="24"/>
              </w:rPr>
              <w:t>pm</w:t>
            </w:r>
            <w:r w:rsidR="00281725" w:rsidRPr="00B227EB">
              <w:rPr>
                <w:rFonts w:ascii="Arial" w:eastAsia="Arial" w:hAnsi="Arial" w:cs="Arial"/>
                <w:color w:val="000000" w:themeColor="text1"/>
                <w:sz w:val="24"/>
              </w:rPr>
              <w:t xml:space="preserve"> to give the pharmacists enough time to organise TTOs. </w:t>
            </w:r>
            <w:r w:rsidR="00B227EB" w:rsidRPr="00B227EB">
              <w:rPr>
                <w:rFonts w:ascii="Arial" w:eastAsia="Arial" w:hAnsi="Arial" w:cs="Arial"/>
                <w:color w:val="000000" w:themeColor="text1"/>
                <w:sz w:val="24"/>
              </w:rPr>
              <w:t>Routine jobs that come up from the ward rounds include, but not limited to, ordering scans, chasing MDM outcomes, referring to KCH, updating NOK, completing EDNs, discussing a patient with microbiology and re-siting difficult cannulas. Sick patients, and any important jobs that effect clinical management can be handed over to the ward cover FY1 to chase or med-reg-on-wards.</w:t>
            </w:r>
            <w:r w:rsidR="00F05476">
              <w:rPr>
                <w:rFonts w:ascii="Arial" w:eastAsia="Arial" w:hAnsi="Arial" w:cs="Arial"/>
                <w:color w:val="000000" w:themeColor="text1"/>
                <w:sz w:val="24"/>
              </w:rPr>
              <w:t xml:space="preserve"> Additionally, you will be asked to review outpatients in GDU relatively frequently by the nursing staff. Don’t hesitate to ask for the registrar’s opinion if you are unsure after reviewing them. </w:t>
            </w:r>
          </w:p>
          <w:p w14:paraId="5149E983" w14:textId="71314A00" w:rsidR="00FA6806" w:rsidRPr="00B227EB" w:rsidRDefault="00FA6806" w:rsidP="00281725">
            <w:pPr>
              <w:jc w:val="both"/>
              <w:rPr>
                <w:rFonts w:ascii="Arial" w:eastAsia="Arial" w:hAnsi="Arial" w:cs="Arial"/>
                <w:color w:val="000000" w:themeColor="text1"/>
                <w:sz w:val="24"/>
              </w:rPr>
            </w:pPr>
          </w:p>
          <w:p w14:paraId="2424FA6B" w14:textId="44DD6D65" w:rsidR="00FB7C91" w:rsidRDefault="6FEBC873" w:rsidP="00281725">
            <w:pPr>
              <w:jc w:val="both"/>
              <w:rPr>
                <w:rFonts w:ascii="Arial" w:eastAsia="Arial" w:hAnsi="Arial" w:cs="Arial"/>
                <w:color w:val="000000" w:themeColor="text1"/>
                <w:sz w:val="24"/>
              </w:rPr>
            </w:pPr>
            <w:r w:rsidRPr="00B227EB">
              <w:rPr>
                <w:rFonts w:ascii="Arial" w:eastAsia="Arial" w:hAnsi="Arial" w:cs="Arial"/>
                <w:color w:val="000000" w:themeColor="text1"/>
                <w:sz w:val="24"/>
              </w:rPr>
              <w:t xml:space="preserve">The </w:t>
            </w:r>
            <w:r w:rsidR="00B227EB" w:rsidRPr="00B227EB">
              <w:rPr>
                <w:rFonts w:ascii="Arial" w:eastAsia="Arial" w:hAnsi="Arial" w:cs="Arial"/>
                <w:color w:val="000000" w:themeColor="text1"/>
                <w:sz w:val="24"/>
              </w:rPr>
              <w:t>registrar, and c</w:t>
            </w:r>
            <w:r w:rsidRPr="00B227EB">
              <w:rPr>
                <w:rFonts w:ascii="Arial" w:eastAsia="Arial" w:hAnsi="Arial" w:cs="Arial"/>
                <w:color w:val="000000" w:themeColor="text1"/>
                <w:sz w:val="24"/>
              </w:rPr>
              <w:t>onsultant</w:t>
            </w:r>
            <w:r w:rsidR="00B227EB" w:rsidRPr="00B227EB">
              <w:rPr>
                <w:rFonts w:ascii="Arial" w:eastAsia="Arial" w:hAnsi="Arial" w:cs="Arial"/>
                <w:color w:val="000000" w:themeColor="text1"/>
                <w:sz w:val="24"/>
              </w:rPr>
              <w:t xml:space="preserve">, will leave the ward after the morning round to see the outliers. Junior doctors are not expected to accompany them but can do to aid their own learning. Registrars and consultants are always </w:t>
            </w:r>
            <w:r w:rsidRPr="00B227EB">
              <w:rPr>
                <w:rFonts w:ascii="Arial" w:eastAsia="Arial" w:hAnsi="Arial" w:cs="Arial"/>
                <w:color w:val="000000" w:themeColor="text1"/>
                <w:sz w:val="24"/>
              </w:rPr>
              <w:t xml:space="preserve">contactable on the phone </w:t>
            </w:r>
            <w:r w:rsidR="00B227EB" w:rsidRPr="00B227EB">
              <w:rPr>
                <w:rFonts w:ascii="Arial" w:eastAsia="Arial" w:hAnsi="Arial" w:cs="Arial"/>
                <w:color w:val="000000" w:themeColor="text1"/>
                <w:sz w:val="24"/>
              </w:rPr>
              <w:t xml:space="preserve">for any queries. Any referrals for haematology must be directed by registrar carrying the bleep (673). </w:t>
            </w:r>
          </w:p>
          <w:p w14:paraId="7DBA9D18" w14:textId="7B29A703" w:rsidR="00BA0F50" w:rsidRDefault="00BA0F50" w:rsidP="00281725">
            <w:pPr>
              <w:jc w:val="both"/>
              <w:rPr>
                <w:rFonts w:ascii="Arial" w:eastAsia="Arial" w:hAnsi="Arial" w:cs="Arial"/>
                <w:color w:val="000000" w:themeColor="text1"/>
                <w:sz w:val="24"/>
              </w:rPr>
            </w:pPr>
          </w:p>
          <w:p w14:paraId="07F923B1" w14:textId="18905CC3" w:rsidR="00BA0F50" w:rsidRPr="00BA0F50" w:rsidRDefault="00BA0F50" w:rsidP="00281725">
            <w:pPr>
              <w:jc w:val="both"/>
              <w:rPr>
                <w:rFonts w:ascii="Arial" w:eastAsia="Arial" w:hAnsi="Arial" w:cs="Arial"/>
                <w:color w:val="201F1E"/>
                <w:sz w:val="24"/>
              </w:rPr>
            </w:pPr>
            <w:r w:rsidRPr="00353FC0">
              <w:rPr>
                <w:rFonts w:ascii="Arial" w:eastAsia="Arial" w:hAnsi="Arial" w:cs="Arial"/>
                <w:b/>
                <w:bCs/>
                <w:color w:val="201F1E"/>
                <w:sz w:val="24"/>
              </w:rPr>
              <w:t xml:space="preserve">New patients: </w:t>
            </w:r>
            <w:r w:rsidRPr="00353FC0">
              <w:rPr>
                <w:rFonts w:ascii="Arial" w:eastAsia="Arial" w:hAnsi="Arial" w:cs="Arial"/>
                <w:color w:val="201F1E"/>
                <w:sz w:val="24"/>
              </w:rPr>
              <w:t xml:space="preserve">All new patients </w:t>
            </w:r>
            <w:r>
              <w:rPr>
                <w:rFonts w:ascii="Arial" w:eastAsia="Arial" w:hAnsi="Arial" w:cs="Arial"/>
                <w:color w:val="201F1E"/>
                <w:sz w:val="24"/>
              </w:rPr>
              <w:t>are either inpatient transfers from another ward/A&amp;E/SDEC or are elective admissions for treatment. Elective admissions need to be clerked by the junior doctors on the ward. Make sure to complete the VTE assessment thoroughly, prescribing/withholding any anticoagulation as necessary. Previous eDNs as well as GP records can be used to prescribe regular medication. All patients receiving chemotherapy will have prescriptions for chemotherapy on Aria that junior doctors do not have access to as only registrars and above can prescribe chemotherapy. Please liaise with your registrar to prescribe all the supportive medications from Aria for each patient receiving chemotherapy. For inpatient transfers, always review the acute oncology notes as well as the IP clerking document on EPR for a full history of the patient.</w:t>
            </w:r>
            <w:r w:rsidRPr="00353FC0">
              <w:rPr>
                <w:rFonts w:ascii="Arial" w:eastAsia="Arial" w:hAnsi="Arial" w:cs="Arial"/>
                <w:color w:val="201F1E"/>
                <w:sz w:val="24"/>
              </w:rPr>
              <w:t> </w:t>
            </w:r>
          </w:p>
          <w:p w14:paraId="163ACF37" w14:textId="580C0651" w:rsidR="00FA6806" w:rsidRPr="00353FC0" w:rsidRDefault="00FA6806" w:rsidP="00281725">
            <w:pPr>
              <w:jc w:val="both"/>
              <w:rPr>
                <w:rFonts w:ascii="Arial" w:eastAsia="Arial" w:hAnsi="Arial" w:cs="Arial"/>
                <w:color w:val="201F1E"/>
                <w:sz w:val="24"/>
              </w:rPr>
            </w:pPr>
          </w:p>
          <w:p w14:paraId="3DEEC669" w14:textId="7C5F6FC6" w:rsidR="00FA6806" w:rsidRPr="00353FC0" w:rsidRDefault="6C93CA7A" w:rsidP="00281725">
            <w:pPr>
              <w:jc w:val="both"/>
              <w:rPr>
                <w:rFonts w:ascii="Arial" w:eastAsia="Arial" w:hAnsi="Arial" w:cs="Arial"/>
                <w:color w:val="201F1E"/>
                <w:sz w:val="24"/>
              </w:rPr>
            </w:pPr>
            <w:r w:rsidRPr="00353FC0">
              <w:rPr>
                <w:rFonts w:ascii="Arial" w:eastAsia="Arial" w:hAnsi="Arial" w:cs="Arial"/>
                <w:b/>
                <w:bCs/>
                <w:color w:val="201F1E"/>
                <w:sz w:val="24"/>
              </w:rPr>
              <w:t>Useful bloods:</w:t>
            </w:r>
            <w:r w:rsidRPr="00353FC0">
              <w:rPr>
                <w:rFonts w:ascii="Arial" w:eastAsia="Arial" w:hAnsi="Arial" w:cs="Arial"/>
                <w:color w:val="201F1E"/>
                <w:sz w:val="24"/>
              </w:rPr>
              <w:t xml:space="preserve"> Common routine bloods </w:t>
            </w:r>
            <w:r w:rsidR="00FB7C91">
              <w:rPr>
                <w:rFonts w:ascii="Arial" w:eastAsia="Arial" w:hAnsi="Arial" w:cs="Arial"/>
                <w:color w:val="201F1E"/>
                <w:sz w:val="24"/>
              </w:rPr>
              <w:t>will be taken for all haematology</w:t>
            </w:r>
            <w:r w:rsidRPr="00353FC0">
              <w:rPr>
                <w:rFonts w:ascii="Arial" w:eastAsia="Arial" w:hAnsi="Arial" w:cs="Arial"/>
                <w:color w:val="201F1E"/>
                <w:sz w:val="24"/>
              </w:rPr>
              <w:t xml:space="preserve"> patients </w:t>
            </w:r>
            <w:r w:rsidR="00FB7C91">
              <w:rPr>
                <w:rFonts w:ascii="Arial" w:eastAsia="Arial" w:hAnsi="Arial" w:cs="Arial"/>
                <w:color w:val="201F1E"/>
                <w:sz w:val="24"/>
              </w:rPr>
              <w:t xml:space="preserve">by the nurses each morning and include </w:t>
            </w:r>
            <w:r w:rsidRPr="00353FC0">
              <w:rPr>
                <w:rFonts w:ascii="Arial" w:eastAsia="Arial" w:hAnsi="Arial" w:cs="Arial"/>
                <w:color w:val="201F1E"/>
                <w:sz w:val="24"/>
              </w:rPr>
              <w:t xml:space="preserve">FBC, </w:t>
            </w:r>
            <w:r w:rsidR="00FB7C91">
              <w:rPr>
                <w:rFonts w:ascii="Arial" w:eastAsia="Arial" w:hAnsi="Arial" w:cs="Arial"/>
                <w:color w:val="201F1E"/>
                <w:sz w:val="24"/>
              </w:rPr>
              <w:t>c</w:t>
            </w:r>
            <w:r w:rsidRPr="00353FC0">
              <w:rPr>
                <w:rFonts w:ascii="Arial" w:eastAsia="Arial" w:hAnsi="Arial" w:cs="Arial"/>
                <w:color w:val="201F1E"/>
                <w:sz w:val="24"/>
              </w:rPr>
              <w:t>oagulation studies</w:t>
            </w:r>
            <w:r w:rsidR="00FB7C91">
              <w:rPr>
                <w:rFonts w:ascii="Arial" w:eastAsia="Arial" w:hAnsi="Arial" w:cs="Arial"/>
                <w:color w:val="201F1E"/>
                <w:sz w:val="24"/>
              </w:rPr>
              <w:t xml:space="preserve"> and biochemistry (</w:t>
            </w:r>
            <w:r w:rsidRPr="00353FC0">
              <w:rPr>
                <w:rFonts w:ascii="Arial" w:eastAsia="Arial" w:hAnsi="Arial" w:cs="Arial"/>
                <w:color w:val="201F1E"/>
                <w:sz w:val="24"/>
              </w:rPr>
              <w:t>U&amp;Es, LFTs, CRP</w:t>
            </w:r>
            <w:r w:rsidR="00FB7C91">
              <w:rPr>
                <w:rFonts w:ascii="Arial" w:eastAsia="Arial" w:hAnsi="Arial" w:cs="Arial"/>
                <w:color w:val="201F1E"/>
                <w:sz w:val="24"/>
              </w:rPr>
              <w:t>, Ca</w:t>
            </w:r>
            <w:r w:rsidR="00FB7C91">
              <w:rPr>
                <w:rFonts w:ascii="Arial" w:eastAsia="Arial" w:hAnsi="Arial" w:cs="Arial"/>
                <w:color w:val="201F1E"/>
                <w:sz w:val="24"/>
                <w:vertAlign w:val="superscript"/>
              </w:rPr>
              <w:t>2+</w:t>
            </w:r>
            <w:r w:rsidR="00FB7C91">
              <w:rPr>
                <w:rFonts w:ascii="Arial" w:eastAsia="Arial" w:hAnsi="Arial" w:cs="Arial"/>
                <w:color w:val="201F1E"/>
                <w:sz w:val="24"/>
              </w:rPr>
              <w:t>, Mg</w:t>
            </w:r>
            <w:r w:rsidR="00FB7C91">
              <w:rPr>
                <w:rFonts w:ascii="Arial" w:eastAsia="Arial" w:hAnsi="Arial" w:cs="Arial"/>
                <w:color w:val="201F1E"/>
                <w:sz w:val="24"/>
                <w:vertAlign w:val="superscript"/>
              </w:rPr>
              <w:t>2+</w:t>
            </w:r>
            <w:r w:rsidR="00FB7C91">
              <w:rPr>
                <w:rFonts w:ascii="Arial" w:eastAsia="Arial" w:hAnsi="Arial" w:cs="Arial"/>
                <w:color w:val="201F1E"/>
                <w:sz w:val="24"/>
              </w:rPr>
              <w:t>, Phosphate)</w:t>
            </w:r>
            <w:r w:rsidRPr="00353FC0">
              <w:rPr>
                <w:rFonts w:ascii="Arial" w:eastAsia="Arial" w:hAnsi="Arial" w:cs="Arial"/>
                <w:color w:val="201F1E"/>
                <w:sz w:val="24"/>
              </w:rPr>
              <w:t xml:space="preserve">. </w:t>
            </w:r>
            <w:r w:rsidR="00FB7C91">
              <w:rPr>
                <w:rFonts w:ascii="Arial" w:eastAsia="Arial" w:hAnsi="Arial" w:cs="Arial"/>
                <w:color w:val="201F1E"/>
                <w:sz w:val="24"/>
              </w:rPr>
              <w:t>Patients at high risk of Tumour Lysis Syndrome will need twice daily tumour lysis bloods (</w:t>
            </w:r>
            <w:r w:rsidR="00FB7C91" w:rsidRPr="00FB7C91">
              <w:rPr>
                <w:rFonts w:ascii="Arial" w:eastAsia="Arial" w:hAnsi="Arial" w:cs="Arial"/>
                <w:color w:val="201F1E"/>
                <w:sz w:val="24"/>
              </w:rPr>
              <w:t>uric acid</w:t>
            </w:r>
            <w:r w:rsidR="00FB7C91">
              <w:rPr>
                <w:rFonts w:ascii="Arial" w:eastAsia="Arial" w:hAnsi="Arial" w:cs="Arial"/>
                <w:color w:val="201F1E"/>
                <w:sz w:val="24"/>
              </w:rPr>
              <w:t>, K</w:t>
            </w:r>
            <w:r w:rsidR="00FB7C91">
              <w:rPr>
                <w:rFonts w:ascii="Arial" w:eastAsia="Arial" w:hAnsi="Arial" w:cs="Arial"/>
                <w:color w:val="201F1E"/>
                <w:sz w:val="24"/>
                <w:vertAlign w:val="superscript"/>
              </w:rPr>
              <w:t>+</w:t>
            </w:r>
            <w:r w:rsidR="00FB7C91">
              <w:rPr>
                <w:rFonts w:ascii="Arial" w:eastAsia="Arial" w:hAnsi="Arial" w:cs="Arial"/>
                <w:color w:val="201F1E"/>
                <w:sz w:val="24"/>
              </w:rPr>
              <w:t xml:space="preserve">, </w:t>
            </w:r>
            <w:r w:rsidR="00FB7C91" w:rsidRPr="00FB7C91">
              <w:rPr>
                <w:rFonts w:ascii="Arial" w:eastAsia="Arial" w:hAnsi="Arial" w:cs="Arial"/>
                <w:color w:val="201F1E"/>
                <w:sz w:val="24"/>
              </w:rPr>
              <w:t>phosphate</w:t>
            </w:r>
            <w:r w:rsidR="00FB7C91">
              <w:rPr>
                <w:rFonts w:ascii="Arial" w:eastAsia="Arial" w:hAnsi="Arial" w:cs="Arial"/>
                <w:color w:val="201F1E"/>
                <w:sz w:val="24"/>
              </w:rPr>
              <w:t xml:space="preserve"> and Ca</w:t>
            </w:r>
            <w:r w:rsidR="00FB7C91">
              <w:rPr>
                <w:rFonts w:ascii="Arial" w:eastAsia="Arial" w:hAnsi="Arial" w:cs="Arial"/>
                <w:color w:val="201F1E"/>
                <w:sz w:val="24"/>
                <w:vertAlign w:val="superscript"/>
              </w:rPr>
              <w:t>2+</w:t>
            </w:r>
            <w:r w:rsidR="00FB7C91">
              <w:rPr>
                <w:rFonts w:ascii="Arial" w:eastAsia="Arial" w:hAnsi="Arial" w:cs="Arial"/>
                <w:color w:val="201F1E"/>
                <w:sz w:val="24"/>
              </w:rPr>
              <w:t xml:space="preserve">) and this will need to be specified. </w:t>
            </w:r>
            <w:r w:rsidRPr="00353FC0">
              <w:rPr>
                <w:rFonts w:ascii="Arial" w:eastAsia="Arial" w:hAnsi="Arial" w:cs="Arial"/>
                <w:color w:val="201F1E"/>
                <w:sz w:val="24"/>
              </w:rPr>
              <w:t xml:space="preserve">Patients on TPN/at risk of refeeding syndrome will need </w:t>
            </w:r>
            <w:r w:rsidR="00FB7C91">
              <w:rPr>
                <w:rFonts w:ascii="Arial" w:eastAsia="Arial" w:hAnsi="Arial" w:cs="Arial"/>
                <w:color w:val="201F1E"/>
                <w:sz w:val="24"/>
              </w:rPr>
              <w:t xml:space="preserve">a </w:t>
            </w:r>
            <w:r w:rsidRPr="00353FC0">
              <w:rPr>
                <w:rFonts w:ascii="Arial" w:eastAsia="Arial" w:hAnsi="Arial" w:cs="Arial"/>
                <w:color w:val="201F1E"/>
                <w:sz w:val="24"/>
              </w:rPr>
              <w:t xml:space="preserve">daily bone profile and </w:t>
            </w:r>
            <w:r w:rsidR="00FB7C91">
              <w:rPr>
                <w:rFonts w:ascii="Arial" w:eastAsia="Arial" w:hAnsi="Arial" w:cs="Arial"/>
                <w:color w:val="201F1E"/>
                <w:sz w:val="24"/>
              </w:rPr>
              <w:t>Mg</w:t>
            </w:r>
            <w:r w:rsidR="00FB7C91">
              <w:rPr>
                <w:rFonts w:ascii="Arial" w:eastAsia="Arial" w:hAnsi="Arial" w:cs="Arial"/>
                <w:color w:val="201F1E"/>
                <w:sz w:val="24"/>
                <w:vertAlign w:val="superscript"/>
              </w:rPr>
              <w:t>2+</w:t>
            </w:r>
            <w:r w:rsidRPr="00353FC0">
              <w:rPr>
                <w:rFonts w:ascii="Arial" w:eastAsia="Arial" w:hAnsi="Arial" w:cs="Arial"/>
                <w:color w:val="201F1E"/>
                <w:sz w:val="24"/>
              </w:rPr>
              <w:t xml:space="preserve"> as well. Patients who are in AKI need daily renal function tests till AKI has resolved. </w:t>
            </w:r>
            <w:r w:rsidR="00811344">
              <w:rPr>
                <w:rFonts w:ascii="Arial" w:hAnsi="Arial" w:cs="Arial"/>
                <w:sz w:val="24"/>
                <w:szCs w:val="24"/>
              </w:rPr>
              <w:t xml:space="preserve">Lawrence started off as a nurse led unit and, thus, nurses are very proactive in </w:t>
            </w:r>
            <w:r w:rsidR="00FB7C91">
              <w:rPr>
                <w:rFonts w:ascii="Arial" w:hAnsi="Arial" w:cs="Arial"/>
                <w:sz w:val="24"/>
                <w:szCs w:val="24"/>
              </w:rPr>
              <w:t>ordering/taking bloods but you must liaise with them daily.</w:t>
            </w:r>
            <w:r w:rsidR="00B227EB">
              <w:rPr>
                <w:rFonts w:ascii="Arial" w:hAnsi="Arial" w:cs="Arial"/>
                <w:sz w:val="24"/>
                <w:szCs w:val="24"/>
              </w:rPr>
              <w:t xml:space="preserve"> </w:t>
            </w:r>
          </w:p>
        </w:tc>
      </w:tr>
      <w:tr w:rsidR="00FA6806" w14:paraId="4A31C577" w14:textId="77777777" w:rsidTr="2DFB00BD">
        <w:trPr>
          <w:trHeight w:val="400"/>
        </w:trPr>
        <w:tc>
          <w:tcPr>
            <w:tcW w:w="2662" w:type="dxa"/>
          </w:tcPr>
          <w:p w14:paraId="316AF0B9"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lastRenderedPageBreak/>
              <w:t>Referrals</w:t>
            </w:r>
          </w:p>
        </w:tc>
        <w:tc>
          <w:tcPr>
            <w:tcW w:w="6405" w:type="dxa"/>
          </w:tcPr>
          <w:p w14:paraId="40A2FC2B" w14:textId="321C70E2" w:rsidR="00281725" w:rsidRPr="00281725" w:rsidRDefault="00281725" w:rsidP="00281725">
            <w:pPr>
              <w:pStyle w:val="ListParagraph"/>
              <w:numPr>
                <w:ilvl w:val="0"/>
                <w:numId w:val="4"/>
              </w:numPr>
              <w:spacing w:line="259" w:lineRule="auto"/>
              <w:jc w:val="both"/>
              <w:rPr>
                <w:rFonts w:ascii="Arial" w:eastAsia="Arial" w:hAnsi="Arial" w:cs="Arial"/>
                <w:color w:val="000000" w:themeColor="text1"/>
                <w:sz w:val="24"/>
              </w:rPr>
            </w:pPr>
            <w:r w:rsidRPr="00281725">
              <w:rPr>
                <w:rFonts w:ascii="Arial" w:eastAsia="Arial" w:hAnsi="Arial" w:cs="Arial"/>
                <w:b/>
                <w:bCs/>
                <w:color w:val="000000" w:themeColor="text1"/>
                <w:sz w:val="24"/>
              </w:rPr>
              <w:t>Cardiorespiratory Department</w:t>
            </w:r>
            <w:r>
              <w:rPr>
                <w:rFonts w:ascii="Arial" w:eastAsia="Arial" w:hAnsi="Arial" w:cs="Arial"/>
                <w:color w:val="000000" w:themeColor="text1"/>
                <w:sz w:val="24"/>
              </w:rPr>
              <w:t xml:space="preserve">: </w:t>
            </w:r>
            <w:r w:rsidRPr="00353FC0">
              <w:rPr>
                <w:rFonts w:ascii="Arial" w:eastAsia="Arial" w:hAnsi="Arial" w:cs="Arial"/>
                <w:color w:val="000000" w:themeColor="text1"/>
                <w:sz w:val="24"/>
              </w:rPr>
              <w:t xml:space="preserve">Forms </w:t>
            </w:r>
            <w:r>
              <w:rPr>
                <w:rFonts w:ascii="Arial" w:eastAsia="Arial" w:hAnsi="Arial" w:cs="Arial"/>
                <w:color w:val="000000" w:themeColor="text1"/>
                <w:sz w:val="24"/>
              </w:rPr>
              <w:t xml:space="preserve">to request an ECHO, 24-hour ECG or lung function testing </w:t>
            </w:r>
            <w:r w:rsidRPr="00353FC0">
              <w:rPr>
                <w:rFonts w:ascii="Arial" w:eastAsia="Arial" w:hAnsi="Arial" w:cs="Arial"/>
                <w:color w:val="000000" w:themeColor="text1"/>
                <w:sz w:val="24"/>
              </w:rPr>
              <w:t xml:space="preserve">are found in the drawers </w:t>
            </w:r>
            <w:r>
              <w:rPr>
                <w:rFonts w:ascii="Arial" w:eastAsia="Arial" w:hAnsi="Arial" w:cs="Arial"/>
                <w:color w:val="000000" w:themeColor="text1"/>
                <w:sz w:val="24"/>
              </w:rPr>
              <w:t>in the doctor’s office</w:t>
            </w:r>
            <w:r w:rsidRPr="00353FC0">
              <w:rPr>
                <w:rFonts w:ascii="Arial" w:eastAsia="Arial" w:hAnsi="Arial" w:cs="Arial"/>
                <w:color w:val="000000" w:themeColor="text1"/>
                <w:sz w:val="24"/>
              </w:rPr>
              <w:t xml:space="preserve">. Completed forms need to be </w:t>
            </w:r>
            <w:r>
              <w:rPr>
                <w:rFonts w:ascii="Arial" w:eastAsia="Arial" w:hAnsi="Arial" w:cs="Arial"/>
                <w:color w:val="000000" w:themeColor="text1"/>
                <w:sz w:val="24"/>
              </w:rPr>
              <w:t>dropped off in the black box outside the Cardiorespiratory department (Green Zone, Level 3)</w:t>
            </w:r>
          </w:p>
          <w:p w14:paraId="52CBFD0C" w14:textId="0DAC82AC" w:rsidR="00FA6806" w:rsidRPr="00353FC0" w:rsidRDefault="6F4A0017" w:rsidP="00281725">
            <w:pPr>
              <w:pStyle w:val="ListParagraph"/>
              <w:numPr>
                <w:ilvl w:val="0"/>
                <w:numId w:val="4"/>
              </w:numPr>
              <w:spacing w:line="259" w:lineRule="auto"/>
              <w:jc w:val="both"/>
              <w:rPr>
                <w:rFonts w:ascii="Arial" w:eastAsia="Arial" w:hAnsi="Arial" w:cs="Arial"/>
                <w:color w:val="000000" w:themeColor="text1"/>
                <w:sz w:val="24"/>
              </w:rPr>
            </w:pPr>
            <w:r w:rsidRPr="00353FC0">
              <w:rPr>
                <w:rFonts w:ascii="Arial" w:eastAsia="Arial" w:hAnsi="Arial" w:cs="Arial"/>
                <w:b/>
                <w:bCs/>
                <w:color w:val="000000" w:themeColor="text1"/>
                <w:sz w:val="24"/>
              </w:rPr>
              <w:t xml:space="preserve">Endoscopy: </w:t>
            </w:r>
            <w:r w:rsidRPr="00353FC0">
              <w:rPr>
                <w:rFonts w:ascii="Arial" w:eastAsia="Arial" w:hAnsi="Arial" w:cs="Arial"/>
                <w:color w:val="000000" w:themeColor="text1"/>
                <w:sz w:val="24"/>
              </w:rPr>
              <w:t xml:space="preserve">Forms </w:t>
            </w:r>
            <w:r w:rsidR="00281725">
              <w:rPr>
                <w:rFonts w:ascii="Arial" w:eastAsia="Arial" w:hAnsi="Arial" w:cs="Arial"/>
                <w:color w:val="000000" w:themeColor="text1"/>
                <w:sz w:val="24"/>
              </w:rPr>
              <w:t xml:space="preserve">to request a colonoscopy or OGD </w:t>
            </w:r>
            <w:r w:rsidRPr="00353FC0">
              <w:rPr>
                <w:rFonts w:ascii="Arial" w:eastAsia="Arial" w:hAnsi="Arial" w:cs="Arial"/>
                <w:color w:val="000000" w:themeColor="text1"/>
                <w:sz w:val="24"/>
              </w:rPr>
              <w:t xml:space="preserve">are found in the drawers </w:t>
            </w:r>
            <w:r w:rsidR="00281725">
              <w:rPr>
                <w:rFonts w:ascii="Arial" w:eastAsia="Arial" w:hAnsi="Arial" w:cs="Arial"/>
                <w:color w:val="000000" w:themeColor="text1"/>
                <w:sz w:val="24"/>
              </w:rPr>
              <w:t>in the doctor’s office</w:t>
            </w:r>
            <w:r w:rsidRPr="00353FC0">
              <w:rPr>
                <w:rFonts w:ascii="Arial" w:eastAsia="Arial" w:hAnsi="Arial" w:cs="Arial"/>
                <w:color w:val="000000" w:themeColor="text1"/>
                <w:sz w:val="24"/>
              </w:rPr>
              <w:t>. Completed forms need to be dropped off at Endoscopy reception (Green zone, Level 1)</w:t>
            </w:r>
          </w:p>
          <w:p w14:paraId="20E1366D" w14:textId="4756DC9A" w:rsidR="00FA6806" w:rsidRPr="00353FC0" w:rsidRDefault="00281725" w:rsidP="00281725">
            <w:pPr>
              <w:pStyle w:val="ListParagraph"/>
              <w:numPr>
                <w:ilvl w:val="0"/>
                <w:numId w:val="4"/>
              </w:numPr>
              <w:spacing w:line="259" w:lineRule="auto"/>
              <w:jc w:val="both"/>
              <w:rPr>
                <w:rFonts w:ascii="Arial" w:eastAsia="Arial" w:hAnsi="Arial" w:cs="Arial"/>
                <w:color w:val="000000" w:themeColor="text1"/>
                <w:sz w:val="24"/>
              </w:rPr>
            </w:pPr>
            <w:r>
              <w:rPr>
                <w:rFonts w:ascii="Arial" w:eastAsia="Arial" w:hAnsi="Arial" w:cs="Arial"/>
                <w:b/>
                <w:bCs/>
                <w:color w:val="000000" w:themeColor="text1"/>
                <w:sz w:val="24"/>
              </w:rPr>
              <w:t>Blood Gases</w:t>
            </w:r>
            <w:r w:rsidR="6F4A0017" w:rsidRPr="00353FC0">
              <w:rPr>
                <w:rFonts w:ascii="Arial" w:eastAsia="Arial" w:hAnsi="Arial" w:cs="Arial"/>
                <w:color w:val="000000" w:themeColor="text1"/>
                <w:sz w:val="24"/>
              </w:rPr>
              <w:t xml:space="preserve">: Closest machines are either at </w:t>
            </w:r>
            <w:r>
              <w:rPr>
                <w:rFonts w:ascii="Arial" w:eastAsia="Arial" w:hAnsi="Arial" w:cs="Arial"/>
                <w:color w:val="000000" w:themeColor="text1"/>
                <w:sz w:val="24"/>
              </w:rPr>
              <w:t xml:space="preserve">CCU (Brown Zone, Level 2) or </w:t>
            </w:r>
            <w:r w:rsidR="6F4A0017" w:rsidRPr="00353FC0">
              <w:rPr>
                <w:rFonts w:ascii="Arial" w:eastAsia="Arial" w:hAnsi="Arial" w:cs="Arial"/>
                <w:color w:val="000000" w:themeColor="text1"/>
                <w:sz w:val="24"/>
              </w:rPr>
              <w:t xml:space="preserve">SDEC (Blue </w:t>
            </w:r>
            <w:r>
              <w:rPr>
                <w:rFonts w:ascii="Arial" w:eastAsia="Arial" w:hAnsi="Arial" w:cs="Arial"/>
                <w:color w:val="000000" w:themeColor="text1"/>
                <w:sz w:val="24"/>
              </w:rPr>
              <w:t>Z</w:t>
            </w:r>
            <w:r w:rsidR="6F4A0017" w:rsidRPr="00353FC0">
              <w:rPr>
                <w:rFonts w:ascii="Arial" w:eastAsia="Arial" w:hAnsi="Arial" w:cs="Arial"/>
                <w:color w:val="000000" w:themeColor="text1"/>
                <w:sz w:val="24"/>
              </w:rPr>
              <w:t>one, Level 2)</w:t>
            </w:r>
          </w:p>
          <w:p w14:paraId="3656B9AB" w14:textId="7977599B" w:rsidR="00FA6806" w:rsidRPr="00281725" w:rsidRDefault="6F4A0017" w:rsidP="00281725">
            <w:pPr>
              <w:pStyle w:val="ListParagraph"/>
              <w:numPr>
                <w:ilvl w:val="0"/>
                <w:numId w:val="4"/>
              </w:numPr>
              <w:spacing w:line="259" w:lineRule="auto"/>
              <w:jc w:val="both"/>
              <w:rPr>
                <w:rFonts w:ascii="Arial" w:eastAsia="Arial" w:hAnsi="Arial" w:cs="Arial"/>
                <w:color w:val="000000" w:themeColor="text1"/>
                <w:sz w:val="24"/>
              </w:rPr>
            </w:pPr>
            <w:r w:rsidRPr="00353FC0">
              <w:rPr>
                <w:rFonts w:ascii="Arial" w:eastAsia="Arial" w:hAnsi="Arial" w:cs="Arial"/>
                <w:b/>
                <w:bCs/>
                <w:color w:val="000000" w:themeColor="text1"/>
                <w:sz w:val="24"/>
              </w:rPr>
              <w:t xml:space="preserve">Specialty referrals: </w:t>
            </w:r>
            <w:r w:rsidRPr="00353FC0">
              <w:rPr>
                <w:rFonts w:ascii="Arial" w:eastAsia="Arial" w:hAnsi="Arial" w:cs="Arial"/>
                <w:color w:val="000000" w:themeColor="text1"/>
                <w:sz w:val="24"/>
              </w:rPr>
              <w:t xml:space="preserve"> In-reach services are available from 11am-1pm for any </w:t>
            </w:r>
            <w:r w:rsidR="00FB7C91">
              <w:rPr>
                <w:rFonts w:ascii="Arial" w:eastAsia="Arial" w:hAnsi="Arial" w:cs="Arial"/>
                <w:color w:val="000000" w:themeColor="text1"/>
                <w:sz w:val="24"/>
              </w:rPr>
              <w:t xml:space="preserve">GI or </w:t>
            </w:r>
            <w:r w:rsidRPr="00353FC0">
              <w:rPr>
                <w:rFonts w:ascii="Arial" w:eastAsia="Arial" w:hAnsi="Arial" w:cs="Arial"/>
                <w:color w:val="000000" w:themeColor="text1"/>
                <w:sz w:val="24"/>
              </w:rPr>
              <w:t xml:space="preserve">cardiology queries.  </w:t>
            </w:r>
            <w:r w:rsidR="00FB7C91">
              <w:rPr>
                <w:rFonts w:ascii="Arial" w:eastAsia="Arial" w:hAnsi="Arial" w:cs="Arial"/>
                <w:color w:val="000000" w:themeColor="text1"/>
                <w:sz w:val="24"/>
              </w:rPr>
              <w:t xml:space="preserve">Neurology has a dedicated email that you must refer to, </w:t>
            </w:r>
            <w:hyperlink r:id="rId7" w:history="1">
              <w:r w:rsidR="00FB7C91" w:rsidRPr="00DE2435">
                <w:rPr>
                  <w:rStyle w:val="Hyperlink"/>
                  <w:rFonts w:ascii="Arial" w:eastAsia="Arial" w:hAnsi="Arial" w:cs="Arial"/>
                  <w:sz w:val="24"/>
                </w:rPr>
                <w:t>medwayft.neurology@nhs.net</w:t>
              </w:r>
            </w:hyperlink>
            <w:r w:rsidR="00FB7C91">
              <w:rPr>
                <w:rFonts w:ascii="Arial" w:eastAsia="Arial" w:hAnsi="Arial" w:cs="Arial"/>
                <w:color w:val="000000" w:themeColor="text1"/>
                <w:sz w:val="24"/>
              </w:rPr>
              <w:t>. Spinal referrals must go the spinal team who have their office just outside the doors to Pembroke ward (Red Zone, Level 5)</w:t>
            </w:r>
            <w:r w:rsidR="00281725">
              <w:rPr>
                <w:rFonts w:ascii="Arial" w:eastAsia="Arial" w:hAnsi="Arial" w:cs="Arial"/>
                <w:color w:val="000000" w:themeColor="text1"/>
                <w:sz w:val="24"/>
              </w:rPr>
              <w:t xml:space="preserve">. </w:t>
            </w:r>
            <w:r w:rsidRPr="00281725">
              <w:rPr>
                <w:rFonts w:ascii="Arial" w:eastAsia="Arial" w:hAnsi="Arial" w:cs="Arial"/>
                <w:color w:val="000000" w:themeColor="text1"/>
                <w:sz w:val="24"/>
              </w:rPr>
              <w:t>Other specialty bleeps are available on induction.</w:t>
            </w:r>
          </w:p>
        </w:tc>
      </w:tr>
      <w:tr w:rsidR="00FA6806" w14:paraId="4A35F19E" w14:textId="77777777" w:rsidTr="2DFB00BD">
        <w:trPr>
          <w:trHeight w:val="400"/>
        </w:trPr>
        <w:tc>
          <w:tcPr>
            <w:tcW w:w="2662" w:type="dxa"/>
          </w:tcPr>
          <w:p w14:paraId="084A45F1"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lastRenderedPageBreak/>
              <w:t>Useful Resources</w:t>
            </w:r>
          </w:p>
        </w:tc>
        <w:tc>
          <w:tcPr>
            <w:tcW w:w="6405" w:type="dxa"/>
          </w:tcPr>
          <w:p w14:paraId="7BCF7293" w14:textId="117CED12" w:rsidR="00FA6806" w:rsidRPr="00353FC0" w:rsidRDefault="0D4157E2" w:rsidP="00281725">
            <w:pPr>
              <w:pStyle w:val="ListParagraph"/>
              <w:numPr>
                <w:ilvl w:val="0"/>
                <w:numId w:val="1"/>
              </w:numPr>
              <w:spacing w:line="259" w:lineRule="auto"/>
              <w:jc w:val="both"/>
              <w:rPr>
                <w:rFonts w:ascii="Arial" w:eastAsia="Arial" w:hAnsi="Arial" w:cs="Arial"/>
                <w:color w:val="000000" w:themeColor="text1"/>
                <w:sz w:val="24"/>
              </w:rPr>
            </w:pPr>
            <w:r w:rsidRPr="00353FC0">
              <w:rPr>
                <w:rFonts w:ascii="Arial" w:eastAsia="Arial" w:hAnsi="Arial" w:cs="Arial"/>
                <w:color w:val="000000" w:themeColor="text1"/>
                <w:sz w:val="24"/>
              </w:rPr>
              <w:t xml:space="preserve">Greenbook: Reference tool for Medway staff filled with </w:t>
            </w:r>
            <w:r w:rsidR="00B227EB">
              <w:rPr>
                <w:rFonts w:ascii="Arial" w:eastAsia="Arial" w:hAnsi="Arial" w:cs="Arial"/>
                <w:color w:val="000000" w:themeColor="text1"/>
                <w:sz w:val="24"/>
              </w:rPr>
              <w:t xml:space="preserve">treatment </w:t>
            </w:r>
            <w:r w:rsidRPr="00353FC0">
              <w:rPr>
                <w:rFonts w:ascii="Arial" w:eastAsia="Arial" w:hAnsi="Arial" w:cs="Arial"/>
                <w:color w:val="000000" w:themeColor="text1"/>
                <w:sz w:val="24"/>
              </w:rPr>
              <w:t>algorithms and useful management plans</w:t>
            </w:r>
          </w:p>
          <w:p w14:paraId="19AB78A9" w14:textId="53205344" w:rsidR="00FA6806" w:rsidRPr="00353FC0" w:rsidRDefault="0D4157E2" w:rsidP="00281725">
            <w:pPr>
              <w:pStyle w:val="ListParagraph"/>
              <w:numPr>
                <w:ilvl w:val="0"/>
                <w:numId w:val="1"/>
              </w:numPr>
              <w:spacing w:line="259" w:lineRule="auto"/>
              <w:jc w:val="both"/>
              <w:rPr>
                <w:rFonts w:ascii="Arial" w:eastAsia="Arial" w:hAnsi="Arial" w:cs="Arial"/>
                <w:color w:val="000000" w:themeColor="text1"/>
                <w:sz w:val="24"/>
              </w:rPr>
            </w:pPr>
            <w:r w:rsidRPr="00353FC0">
              <w:rPr>
                <w:rFonts w:ascii="Arial" w:eastAsia="Arial" w:hAnsi="Arial" w:cs="Arial"/>
                <w:color w:val="000000" w:themeColor="text1"/>
                <w:sz w:val="24"/>
              </w:rPr>
              <w:t>BNF</w:t>
            </w:r>
            <w:r w:rsidR="00B227EB">
              <w:rPr>
                <w:rFonts w:ascii="Arial" w:eastAsia="Arial" w:hAnsi="Arial" w:cs="Arial"/>
                <w:color w:val="000000" w:themeColor="text1"/>
                <w:sz w:val="24"/>
              </w:rPr>
              <w:t>: For drug indications, doses and interactions</w:t>
            </w:r>
          </w:p>
          <w:p w14:paraId="50258709" w14:textId="330290FC" w:rsidR="00FA6806" w:rsidRPr="00353FC0" w:rsidRDefault="0D4157E2" w:rsidP="00281725">
            <w:pPr>
              <w:pStyle w:val="ListParagraph"/>
              <w:numPr>
                <w:ilvl w:val="0"/>
                <w:numId w:val="1"/>
              </w:numPr>
              <w:spacing w:line="259" w:lineRule="auto"/>
              <w:jc w:val="both"/>
              <w:rPr>
                <w:rFonts w:ascii="Arial" w:eastAsia="Arial" w:hAnsi="Arial" w:cs="Arial"/>
                <w:color w:val="000000" w:themeColor="text1"/>
                <w:sz w:val="24"/>
              </w:rPr>
            </w:pPr>
            <w:r w:rsidRPr="00353FC0">
              <w:rPr>
                <w:rFonts w:ascii="Arial" w:eastAsia="Arial" w:hAnsi="Arial" w:cs="Arial"/>
                <w:color w:val="000000" w:themeColor="text1"/>
                <w:sz w:val="24"/>
              </w:rPr>
              <w:t>Induction: Useful store of extensions/bleeps for most teams around the hospital</w:t>
            </w:r>
          </w:p>
          <w:p w14:paraId="4422183D" w14:textId="13DCD294" w:rsidR="00FA6806" w:rsidRPr="00353FC0" w:rsidRDefault="0D4157E2" w:rsidP="00281725">
            <w:pPr>
              <w:pStyle w:val="ListParagraph"/>
              <w:numPr>
                <w:ilvl w:val="0"/>
                <w:numId w:val="1"/>
              </w:numPr>
              <w:spacing w:line="259" w:lineRule="auto"/>
              <w:jc w:val="both"/>
              <w:rPr>
                <w:rFonts w:ascii="Arial" w:eastAsia="Arial" w:hAnsi="Arial" w:cs="Arial"/>
                <w:color w:val="000000" w:themeColor="text1"/>
                <w:sz w:val="24"/>
              </w:rPr>
            </w:pPr>
            <w:r w:rsidRPr="00353FC0">
              <w:rPr>
                <w:rFonts w:ascii="Arial" w:eastAsia="Arial" w:hAnsi="Arial" w:cs="Arial"/>
                <w:color w:val="000000" w:themeColor="text1"/>
                <w:sz w:val="24"/>
              </w:rPr>
              <w:t xml:space="preserve">Microguide: </w:t>
            </w:r>
            <w:r w:rsidR="00B227EB">
              <w:rPr>
                <w:rFonts w:ascii="Arial" w:eastAsia="Arial" w:hAnsi="Arial" w:cs="Arial"/>
                <w:color w:val="000000" w:themeColor="text1"/>
                <w:sz w:val="24"/>
              </w:rPr>
              <w:t>G</w:t>
            </w:r>
            <w:r w:rsidRPr="00353FC0">
              <w:rPr>
                <w:rFonts w:ascii="Arial" w:eastAsia="Arial" w:hAnsi="Arial" w:cs="Arial"/>
                <w:color w:val="000000" w:themeColor="text1"/>
                <w:sz w:val="24"/>
              </w:rPr>
              <w:t>uidelines for antibiotic prescribing</w:t>
            </w:r>
          </w:p>
          <w:p w14:paraId="544A538C" w14:textId="778AB100" w:rsidR="00FA6806" w:rsidRPr="00F05476" w:rsidRDefault="0D4157E2" w:rsidP="00F05476">
            <w:pPr>
              <w:pStyle w:val="ListParagraph"/>
              <w:numPr>
                <w:ilvl w:val="0"/>
                <w:numId w:val="1"/>
              </w:numPr>
              <w:spacing w:line="259" w:lineRule="auto"/>
              <w:jc w:val="both"/>
              <w:rPr>
                <w:rFonts w:ascii="Arial" w:eastAsia="Arial" w:hAnsi="Arial" w:cs="Arial"/>
                <w:color w:val="000000" w:themeColor="text1"/>
                <w:sz w:val="24"/>
              </w:rPr>
            </w:pPr>
            <w:r w:rsidRPr="00353FC0">
              <w:rPr>
                <w:rFonts w:ascii="Arial" w:eastAsia="Arial" w:hAnsi="Arial" w:cs="Arial"/>
                <w:color w:val="000000" w:themeColor="text1"/>
                <w:sz w:val="24"/>
              </w:rPr>
              <w:t>MDCalc</w:t>
            </w:r>
            <w:r w:rsidR="00B227EB">
              <w:rPr>
                <w:rFonts w:ascii="Arial" w:eastAsia="Arial" w:hAnsi="Arial" w:cs="Arial"/>
                <w:color w:val="000000" w:themeColor="text1"/>
                <w:sz w:val="24"/>
              </w:rPr>
              <w:t xml:space="preserve">: Easily calculate </w:t>
            </w:r>
            <w:r w:rsidR="00F05476">
              <w:rPr>
                <w:rFonts w:ascii="Arial" w:eastAsia="Arial" w:hAnsi="Arial" w:cs="Arial"/>
                <w:color w:val="000000" w:themeColor="text1"/>
                <w:sz w:val="24"/>
              </w:rPr>
              <w:t>scores like PE-Wells or values</w:t>
            </w:r>
            <w:r w:rsidR="00B227EB">
              <w:rPr>
                <w:rFonts w:ascii="Arial" w:eastAsia="Arial" w:hAnsi="Arial" w:cs="Arial"/>
                <w:color w:val="000000" w:themeColor="text1"/>
                <w:sz w:val="24"/>
              </w:rPr>
              <w:t xml:space="preserve"> </w:t>
            </w:r>
            <w:r w:rsidR="00F05476">
              <w:rPr>
                <w:rFonts w:ascii="Arial" w:eastAsia="Arial" w:hAnsi="Arial" w:cs="Arial"/>
                <w:color w:val="000000" w:themeColor="text1"/>
                <w:sz w:val="24"/>
              </w:rPr>
              <w:t>like creatinine clearance</w:t>
            </w:r>
          </w:p>
          <w:p w14:paraId="049F31CB" w14:textId="7D22B84B" w:rsidR="00F05476" w:rsidRPr="00F05476" w:rsidRDefault="00F05476" w:rsidP="00F05476">
            <w:pPr>
              <w:pStyle w:val="ListParagraph"/>
              <w:numPr>
                <w:ilvl w:val="0"/>
                <w:numId w:val="1"/>
              </w:numPr>
              <w:spacing w:line="259" w:lineRule="auto"/>
              <w:jc w:val="both"/>
              <w:rPr>
                <w:rFonts w:ascii="Arial" w:eastAsia="Arial" w:hAnsi="Arial" w:cs="Arial"/>
                <w:color w:val="000000" w:themeColor="text1"/>
                <w:sz w:val="24"/>
              </w:rPr>
            </w:pPr>
            <w:r>
              <w:rPr>
                <w:rFonts w:ascii="Arial" w:eastAsia="Arial" w:hAnsi="Arial" w:cs="Arial"/>
                <w:color w:val="000000" w:themeColor="text1"/>
                <w:sz w:val="24"/>
              </w:rPr>
              <w:t>Induction: contact details for various departments</w:t>
            </w:r>
          </w:p>
        </w:tc>
      </w:tr>
      <w:tr w:rsidR="00FA6806" w14:paraId="0307CEAF" w14:textId="77777777" w:rsidTr="2DFB00BD">
        <w:trPr>
          <w:trHeight w:val="400"/>
        </w:trPr>
        <w:tc>
          <w:tcPr>
            <w:tcW w:w="2662" w:type="dxa"/>
          </w:tcPr>
          <w:p w14:paraId="3B09344C" w14:textId="77777777" w:rsidR="00FA6806" w:rsidRPr="00281725" w:rsidRDefault="00FA6806" w:rsidP="00403B5C">
            <w:pPr>
              <w:spacing w:before="60" w:after="60"/>
              <w:rPr>
                <w:rFonts w:ascii="Arial" w:hAnsi="Arial" w:cs="Arial"/>
                <w:b/>
                <w:color w:val="5B9BD5" w:themeColor="accent1"/>
                <w:sz w:val="24"/>
              </w:rPr>
            </w:pPr>
            <w:r w:rsidRPr="00281725">
              <w:rPr>
                <w:rFonts w:ascii="Arial" w:hAnsi="Arial" w:cs="Arial"/>
                <w:b/>
                <w:color w:val="5B9BD5" w:themeColor="accent1"/>
                <w:sz w:val="24"/>
              </w:rPr>
              <w:t>Top Tips</w:t>
            </w:r>
          </w:p>
        </w:tc>
        <w:tc>
          <w:tcPr>
            <w:tcW w:w="6405" w:type="dxa"/>
          </w:tcPr>
          <w:p w14:paraId="23E317CC" w14:textId="42ABE851" w:rsidR="00B227EB" w:rsidRPr="00B227EB" w:rsidRDefault="0360A175" w:rsidP="00B227EB">
            <w:pPr>
              <w:pStyle w:val="ListParagraph"/>
              <w:numPr>
                <w:ilvl w:val="0"/>
                <w:numId w:val="10"/>
              </w:numPr>
              <w:jc w:val="both"/>
              <w:rPr>
                <w:rFonts w:ascii="Arial" w:eastAsia="Arial" w:hAnsi="Arial" w:cs="Arial"/>
                <w:color w:val="000000" w:themeColor="text1"/>
                <w:sz w:val="24"/>
              </w:rPr>
            </w:pPr>
            <w:r w:rsidRPr="00B227EB">
              <w:rPr>
                <w:rFonts w:ascii="Arial" w:eastAsia="Arial" w:hAnsi="Arial" w:cs="Arial"/>
                <w:color w:val="000000" w:themeColor="text1"/>
                <w:sz w:val="24"/>
              </w:rPr>
              <w:t xml:space="preserve">Don’t be afraid to ask for assistance – everyone is willing to help and understands that you’re new and that you need to learn. The </w:t>
            </w:r>
            <w:r w:rsidR="00F05476">
              <w:rPr>
                <w:rFonts w:ascii="Arial" w:eastAsia="Arial" w:hAnsi="Arial" w:cs="Arial"/>
                <w:color w:val="000000" w:themeColor="text1"/>
                <w:sz w:val="24"/>
              </w:rPr>
              <w:t>registrars</w:t>
            </w:r>
            <w:r w:rsidRPr="00B227EB">
              <w:rPr>
                <w:rFonts w:ascii="Arial" w:eastAsia="Arial" w:hAnsi="Arial" w:cs="Arial"/>
                <w:color w:val="000000" w:themeColor="text1"/>
                <w:sz w:val="24"/>
              </w:rPr>
              <w:t xml:space="preserve"> are very friendly and easily contactable throughout the day.</w:t>
            </w:r>
            <w:r w:rsidR="00F05476">
              <w:rPr>
                <w:rFonts w:ascii="Arial" w:eastAsia="Arial" w:hAnsi="Arial" w:cs="Arial"/>
                <w:color w:val="000000" w:themeColor="text1"/>
                <w:sz w:val="24"/>
              </w:rPr>
              <w:t xml:space="preserve"> The nurses are very proficient at their jobs so work with them to best manage each patient.</w:t>
            </w:r>
          </w:p>
          <w:p w14:paraId="04FF92E6" w14:textId="4F4D284E" w:rsidR="00FA6806" w:rsidRPr="00B227EB" w:rsidRDefault="0360A175" w:rsidP="00B227EB">
            <w:pPr>
              <w:pStyle w:val="ListParagraph"/>
              <w:numPr>
                <w:ilvl w:val="0"/>
                <w:numId w:val="10"/>
              </w:numPr>
              <w:jc w:val="both"/>
              <w:rPr>
                <w:rFonts w:ascii="Arial" w:eastAsia="Arial" w:hAnsi="Arial" w:cs="Arial"/>
                <w:color w:val="000000" w:themeColor="text1"/>
                <w:sz w:val="24"/>
              </w:rPr>
            </w:pPr>
            <w:r w:rsidRPr="00B227EB">
              <w:rPr>
                <w:rFonts w:ascii="Arial" w:eastAsia="Arial" w:hAnsi="Arial" w:cs="Arial"/>
                <w:color w:val="000000" w:themeColor="text1"/>
                <w:sz w:val="24"/>
              </w:rPr>
              <w:t>Document any updates about your patients so the information is easily accessible to other members of the team or doctors who cover your patients when you’re off.</w:t>
            </w:r>
            <w:r w:rsidR="00B87F08">
              <w:rPr>
                <w:rFonts w:ascii="Arial" w:eastAsia="Arial" w:hAnsi="Arial" w:cs="Arial"/>
                <w:color w:val="000000" w:themeColor="text1"/>
                <w:sz w:val="24"/>
              </w:rPr>
              <w:t xml:space="preserve"> </w:t>
            </w:r>
            <w:r w:rsidR="00B87F08" w:rsidRPr="00BA0F50">
              <w:rPr>
                <w:rFonts w:ascii="Arial" w:eastAsia="Arial" w:hAnsi="Arial" w:cs="Arial"/>
                <w:color w:val="000000" w:themeColor="text1"/>
                <w:sz w:val="24"/>
              </w:rPr>
              <w:t xml:space="preserve">Ensure the </w:t>
            </w:r>
            <w:r w:rsidR="00BA0F50" w:rsidRPr="00BA0F50">
              <w:rPr>
                <w:rFonts w:ascii="Arial" w:eastAsia="Arial" w:hAnsi="Arial" w:cs="Arial"/>
                <w:color w:val="000000" w:themeColor="text1"/>
                <w:sz w:val="24"/>
              </w:rPr>
              <w:t xml:space="preserve">plan for the </w:t>
            </w:r>
            <w:r w:rsidR="00B87F08" w:rsidRPr="00BA0F50">
              <w:rPr>
                <w:rFonts w:ascii="Arial" w:eastAsia="Arial" w:hAnsi="Arial" w:cs="Arial"/>
                <w:color w:val="000000" w:themeColor="text1"/>
                <w:sz w:val="24"/>
              </w:rPr>
              <w:t>weekend,</w:t>
            </w:r>
            <w:r w:rsidR="00BA0F50" w:rsidRPr="00BA0F50">
              <w:rPr>
                <w:rFonts w:ascii="Arial" w:eastAsia="Arial" w:hAnsi="Arial" w:cs="Arial"/>
                <w:color w:val="000000" w:themeColor="text1"/>
                <w:sz w:val="24"/>
              </w:rPr>
              <w:t xml:space="preserve"> the</w:t>
            </w:r>
            <w:r w:rsidR="00B87F08" w:rsidRPr="00BA0F50">
              <w:rPr>
                <w:rFonts w:ascii="Arial" w:eastAsia="Arial" w:hAnsi="Arial" w:cs="Arial"/>
                <w:color w:val="000000" w:themeColor="text1"/>
                <w:sz w:val="24"/>
              </w:rPr>
              <w:t xml:space="preserve"> </w:t>
            </w:r>
            <w:bookmarkStart w:id="0" w:name="_GoBack"/>
            <w:r w:rsidR="00B87F08" w:rsidRPr="00BA0F50">
              <w:rPr>
                <w:rFonts w:ascii="Arial" w:eastAsia="Arial" w:hAnsi="Arial" w:cs="Arial"/>
                <w:color w:val="000000" w:themeColor="text1"/>
                <w:sz w:val="24"/>
              </w:rPr>
              <w:t>plan in case of</w:t>
            </w:r>
            <w:r w:rsidR="00BA0F50">
              <w:rPr>
                <w:rFonts w:ascii="Arial" w:eastAsia="Arial" w:hAnsi="Arial" w:cs="Arial"/>
                <w:color w:val="000000" w:themeColor="text1"/>
                <w:sz w:val="24"/>
              </w:rPr>
              <w:t xml:space="preserve"> the</w:t>
            </w:r>
            <w:r w:rsidR="00BA0F50" w:rsidRPr="00BA0F50">
              <w:rPr>
                <w:rFonts w:ascii="Arial" w:eastAsia="Arial" w:hAnsi="Arial" w:cs="Arial"/>
                <w:color w:val="000000" w:themeColor="text1"/>
                <w:sz w:val="24"/>
              </w:rPr>
              <w:t xml:space="preserve"> patient </w:t>
            </w:r>
            <w:r w:rsidR="00B87F08" w:rsidRPr="00BA0F50">
              <w:rPr>
                <w:rFonts w:ascii="Arial" w:eastAsia="Arial" w:hAnsi="Arial" w:cs="Arial"/>
                <w:color w:val="000000" w:themeColor="text1"/>
                <w:sz w:val="24"/>
              </w:rPr>
              <w:t>deteriorati</w:t>
            </w:r>
            <w:r w:rsidR="00BA0F50" w:rsidRPr="00BA0F50">
              <w:rPr>
                <w:rFonts w:ascii="Arial" w:eastAsia="Arial" w:hAnsi="Arial" w:cs="Arial"/>
                <w:color w:val="000000" w:themeColor="text1"/>
                <w:sz w:val="24"/>
              </w:rPr>
              <w:t>ng</w:t>
            </w:r>
            <w:r w:rsidR="00B87F08" w:rsidRPr="00BA0F50">
              <w:rPr>
                <w:rFonts w:ascii="Arial" w:eastAsia="Arial" w:hAnsi="Arial" w:cs="Arial"/>
                <w:color w:val="000000" w:themeColor="text1"/>
                <w:sz w:val="24"/>
              </w:rPr>
              <w:t xml:space="preserve"> and TEP forms are </w:t>
            </w:r>
            <w:r w:rsidR="00BA0F50" w:rsidRPr="00BA0F50">
              <w:rPr>
                <w:rFonts w:ascii="Arial" w:eastAsia="Arial" w:hAnsi="Arial" w:cs="Arial"/>
                <w:color w:val="000000" w:themeColor="text1"/>
                <w:sz w:val="24"/>
              </w:rPr>
              <w:t xml:space="preserve">completed on Friday </w:t>
            </w:r>
            <w:r w:rsidR="00B87F08" w:rsidRPr="00BA0F50">
              <w:rPr>
                <w:rFonts w:ascii="Arial" w:eastAsia="Arial" w:hAnsi="Arial" w:cs="Arial"/>
                <w:color w:val="000000" w:themeColor="text1"/>
                <w:sz w:val="24"/>
              </w:rPr>
              <w:t>so doctors covering</w:t>
            </w:r>
            <w:r w:rsidR="00B87F08">
              <w:rPr>
                <w:rFonts w:ascii="Arial" w:eastAsia="Arial" w:hAnsi="Arial" w:cs="Arial"/>
                <w:color w:val="000000" w:themeColor="text1"/>
                <w:sz w:val="24"/>
              </w:rPr>
              <w:t xml:space="preserve"> Lawrence have </w:t>
            </w:r>
            <w:r w:rsidR="00F10DBC">
              <w:rPr>
                <w:rFonts w:ascii="Arial" w:eastAsia="Arial" w:hAnsi="Arial" w:cs="Arial"/>
                <w:color w:val="000000" w:themeColor="text1"/>
                <w:sz w:val="24"/>
              </w:rPr>
              <w:t>an e-</w:t>
            </w:r>
            <w:r w:rsidR="00B87F08">
              <w:rPr>
                <w:rFonts w:ascii="Arial" w:eastAsia="Arial" w:hAnsi="Arial" w:cs="Arial"/>
                <w:color w:val="000000" w:themeColor="text1"/>
                <w:sz w:val="24"/>
              </w:rPr>
              <w:t>guide in how to manage patients over the weekend.</w:t>
            </w:r>
          </w:p>
          <w:bookmarkEnd w:id="0"/>
          <w:p w14:paraId="655C0725" w14:textId="70BB9934" w:rsidR="00FA6806" w:rsidRPr="00B227EB" w:rsidRDefault="00F05476" w:rsidP="00B227EB">
            <w:pPr>
              <w:pStyle w:val="ListParagraph"/>
              <w:numPr>
                <w:ilvl w:val="0"/>
                <w:numId w:val="10"/>
              </w:numPr>
              <w:jc w:val="both"/>
              <w:rPr>
                <w:rFonts w:ascii="Arial" w:eastAsia="Arial" w:hAnsi="Arial" w:cs="Arial"/>
                <w:color w:val="000000" w:themeColor="text1"/>
                <w:sz w:val="24"/>
              </w:rPr>
            </w:pPr>
            <w:r>
              <w:rPr>
                <w:rFonts w:ascii="Arial" w:eastAsia="Arial" w:hAnsi="Arial" w:cs="Arial"/>
                <w:color w:val="000000" w:themeColor="text1"/>
                <w:sz w:val="24"/>
              </w:rPr>
              <w:t>Liaise with the other juniors to t</w:t>
            </w:r>
            <w:r w:rsidR="0360A175" w:rsidRPr="00B227EB">
              <w:rPr>
                <w:rFonts w:ascii="Arial" w:eastAsia="Arial" w:hAnsi="Arial" w:cs="Arial"/>
                <w:color w:val="000000" w:themeColor="text1"/>
                <w:sz w:val="24"/>
              </w:rPr>
              <w:t xml:space="preserve">ake your PDP time to work on your portfolio on days when the ward is well staffed. </w:t>
            </w:r>
          </w:p>
          <w:p w14:paraId="53128261" w14:textId="557FA1E1" w:rsidR="00FA6806" w:rsidRPr="00F05476" w:rsidRDefault="0360A175" w:rsidP="00F05476">
            <w:pPr>
              <w:pStyle w:val="ListParagraph"/>
              <w:numPr>
                <w:ilvl w:val="0"/>
                <w:numId w:val="10"/>
              </w:numPr>
              <w:jc w:val="both"/>
              <w:rPr>
                <w:rFonts w:ascii="Arial" w:eastAsia="Arial" w:hAnsi="Arial" w:cs="Arial"/>
                <w:color w:val="000000" w:themeColor="text1"/>
                <w:sz w:val="24"/>
              </w:rPr>
            </w:pPr>
            <w:r w:rsidRPr="00B227EB">
              <w:rPr>
                <w:rFonts w:ascii="Arial" w:eastAsia="Arial" w:hAnsi="Arial" w:cs="Arial"/>
                <w:color w:val="000000" w:themeColor="text1"/>
                <w:sz w:val="24"/>
              </w:rPr>
              <w:t>Take any opportunities you can to learn new skills</w:t>
            </w:r>
            <w:r w:rsidR="00B87F08">
              <w:rPr>
                <w:rFonts w:ascii="Arial" w:eastAsia="Arial" w:hAnsi="Arial" w:cs="Arial"/>
                <w:color w:val="000000" w:themeColor="text1"/>
                <w:sz w:val="24"/>
              </w:rPr>
              <w:t xml:space="preserve">. Lawrence provides some unique opportunities like bone marrow or other biopsies. </w:t>
            </w:r>
          </w:p>
        </w:tc>
      </w:tr>
    </w:tbl>
    <w:p w14:paraId="7954D858" w14:textId="31D5B9C5" w:rsidR="2DFB00BD" w:rsidRDefault="2DFB00BD"/>
    <w:p w14:paraId="4101652C" w14:textId="77777777" w:rsidR="0034177F" w:rsidRPr="00367C56" w:rsidRDefault="0034177F" w:rsidP="00FA6806">
      <w:pPr>
        <w:rPr>
          <w:rFonts w:ascii="Arial" w:hAnsi="Arial" w:cs="Arial"/>
          <w:sz w:val="24"/>
        </w:rPr>
      </w:pPr>
    </w:p>
    <w:sectPr w:rsidR="0034177F" w:rsidRPr="00367C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081A" w14:textId="77777777" w:rsidR="007D03F6" w:rsidRDefault="007D03F6" w:rsidP="00B44A43">
      <w:pPr>
        <w:spacing w:after="0" w:line="240" w:lineRule="auto"/>
      </w:pPr>
      <w:r>
        <w:separator/>
      </w:r>
    </w:p>
  </w:endnote>
  <w:endnote w:type="continuationSeparator" w:id="0">
    <w:p w14:paraId="3B463527" w14:textId="77777777" w:rsidR="007D03F6" w:rsidRDefault="007D03F6"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515C4798" w14:textId="01D94169" w:rsidR="007F4EBB" w:rsidRDefault="00B03F8C">
        <w:pPr>
          <w:pStyle w:val="Footer"/>
          <w:jc w:val="center"/>
        </w:pPr>
        <w:r w:rsidRPr="007F4EBB">
          <w:rPr>
            <w:noProof/>
            <w:lang w:eastAsia="en-GB"/>
          </w:rPr>
          <w:drawing>
            <wp:anchor distT="0" distB="0" distL="114300" distR="114300" simplePos="0" relativeHeight="251660288" behindDoc="1" locked="0" layoutInCell="1" allowOverlap="1" wp14:anchorId="7CACFC87" wp14:editId="1360B557">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6F2EA478" wp14:editId="6B68775E">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rsidR="00353FC0">
          <w:t xml:space="preserve">                  </w:t>
        </w:r>
        <w:r w:rsidR="007F4EBB">
          <w:fldChar w:fldCharType="begin"/>
        </w:r>
        <w:r w:rsidR="007F4EBB">
          <w:instrText xml:space="preserve"> PAGE   \* MERGEFORMAT </w:instrText>
        </w:r>
        <w:r w:rsidR="007F4EBB">
          <w:fldChar w:fldCharType="separate"/>
        </w:r>
        <w:r w:rsidR="003C1E1A">
          <w:rPr>
            <w:noProof/>
          </w:rPr>
          <w:t>4</w:t>
        </w:r>
        <w:r w:rsidR="007F4EBB">
          <w:rPr>
            <w:noProof/>
          </w:rPr>
          <w:fldChar w:fldCharType="end"/>
        </w:r>
      </w:p>
    </w:sdtContent>
  </w:sdt>
  <w:p w14:paraId="4B99056E" w14:textId="77777777" w:rsidR="00E60F86" w:rsidRDefault="00E6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460E" w14:textId="77777777" w:rsidR="007D03F6" w:rsidRDefault="007D03F6" w:rsidP="00B44A43">
      <w:pPr>
        <w:spacing w:after="0" w:line="240" w:lineRule="auto"/>
      </w:pPr>
      <w:r>
        <w:separator/>
      </w:r>
    </w:p>
  </w:footnote>
  <w:footnote w:type="continuationSeparator" w:id="0">
    <w:p w14:paraId="2D209D4A" w14:textId="77777777" w:rsidR="007D03F6" w:rsidRDefault="007D03F6"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6B11" w14:textId="77777777" w:rsidR="00E60F86" w:rsidRDefault="00403B5C">
    <w:pPr>
      <w:pStyle w:val="Header"/>
    </w:pPr>
    <w:r w:rsidRPr="00B44A43">
      <w:rPr>
        <w:noProof/>
        <w:lang w:eastAsia="en-GB"/>
      </w:rPr>
      <w:drawing>
        <wp:anchor distT="0" distB="0" distL="114300" distR="114300" simplePos="0" relativeHeight="251658240" behindDoc="0" locked="0" layoutInCell="1" allowOverlap="1" wp14:anchorId="4759E244" wp14:editId="07777777">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8551"/>
    <w:multiLevelType w:val="hybridMultilevel"/>
    <w:tmpl w:val="2B9414C6"/>
    <w:lvl w:ilvl="0" w:tplc="61E899EE">
      <w:start w:val="1"/>
      <w:numFmt w:val="bullet"/>
      <w:lvlText w:val=""/>
      <w:lvlJc w:val="left"/>
      <w:pPr>
        <w:ind w:left="720" w:hanging="360"/>
      </w:pPr>
      <w:rPr>
        <w:rFonts w:ascii="Symbol" w:hAnsi="Symbol" w:hint="default"/>
      </w:rPr>
    </w:lvl>
    <w:lvl w:ilvl="1" w:tplc="C1BA7B22">
      <w:start w:val="1"/>
      <w:numFmt w:val="bullet"/>
      <w:lvlText w:val="o"/>
      <w:lvlJc w:val="left"/>
      <w:pPr>
        <w:ind w:left="1440" w:hanging="360"/>
      </w:pPr>
      <w:rPr>
        <w:rFonts w:ascii="Courier New" w:hAnsi="Courier New" w:hint="default"/>
      </w:rPr>
    </w:lvl>
    <w:lvl w:ilvl="2" w:tplc="2DBE2858">
      <w:start w:val="1"/>
      <w:numFmt w:val="bullet"/>
      <w:lvlText w:val=""/>
      <w:lvlJc w:val="left"/>
      <w:pPr>
        <w:ind w:left="2160" w:hanging="360"/>
      </w:pPr>
      <w:rPr>
        <w:rFonts w:ascii="Wingdings" w:hAnsi="Wingdings" w:hint="default"/>
      </w:rPr>
    </w:lvl>
    <w:lvl w:ilvl="3" w:tplc="1EDC4E60">
      <w:start w:val="1"/>
      <w:numFmt w:val="bullet"/>
      <w:lvlText w:val=""/>
      <w:lvlJc w:val="left"/>
      <w:pPr>
        <w:ind w:left="2880" w:hanging="360"/>
      </w:pPr>
      <w:rPr>
        <w:rFonts w:ascii="Symbol" w:hAnsi="Symbol" w:hint="default"/>
      </w:rPr>
    </w:lvl>
    <w:lvl w:ilvl="4" w:tplc="08A29130">
      <w:start w:val="1"/>
      <w:numFmt w:val="bullet"/>
      <w:lvlText w:val="o"/>
      <w:lvlJc w:val="left"/>
      <w:pPr>
        <w:ind w:left="3600" w:hanging="360"/>
      </w:pPr>
      <w:rPr>
        <w:rFonts w:ascii="Courier New" w:hAnsi="Courier New" w:hint="default"/>
      </w:rPr>
    </w:lvl>
    <w:lvl w:ilvl="5" w:tplc="66F08226">
      <w:start w:val="1"/>
      <w:numFmt w:val="bullet"/>
      <w:lvlText w:val=""/>
      <w:lvlJc w:val="left"/>
      <w:pPr>
        <w:ind w:left="4320" w:hanging="360"/>
      </w:pPr>
      <w:rPr>
        <w:rFonts w:ascii="Wingdings" w:hAnsi="Wingdings" w:hint="default"/>
      </w:rPr>
    </w:lvl>
    <w:lvl w:ilvl="6" w:tplc="8742760A">
      <w:start w:val="1"/>
      <w:numFmt w:val="bullet"/>
      <w:lvlText w:val=""/>
      <w:lvlJc w:val="left"/>
      <w:pPr>
        <w:ind w:left="5040" w:hanging="360"/>
      </w:pPr>
      <w:rPr>
        <w:rFonts w:ascii="Symbol" w:hAnsi="Symbol" w:hint="default"/>
      </w:rPr>
    </w:lvl>
    <w:lvl w:ilvl="7" w:tplc="C02CF776">
      <w:start w:val="1"/>
      <w:numFmt w:val="bullet"/>
      <w:lvlText w:val="o"/>
      <w:lvlJc w:val="left"/>
      <w:pPr>
        <w:ind w:left="5760" w:hanging="360"/>
      </w:pPr>
      <w:rPr>
        <w:rFonts w:ascii="Courier New" w:hAnsi="Courier New" w:hint="default"/>
      </w:rPr>
    </w:lvl>
    <w:lvl w:ilvl="8" w:tplc="1F02EE7E">
      <w:start w:val="1"/>
      <w:numFmt w:val="bullet"/>
      <w:lvlText w:val=""/>
      <w:lvlJc w:val="left"/>
      <w:pPr>
        <w:ind w:left="6480" w:hanging="360"/>
      </w:pPr>
      <w:rPr>
        <w:rFonts w:ascii="Wingdings" w:hAnsi="Wingdings" w:hint="default"/>
      </w:rPr>
    </w:lvl>
  </w:abstractNum>
  <w:abstractNum w:abstractNumId="1" w15:restartNumberingAfterBreak="0">
    <w:nsid w:val="22AFD067"/>
    <w:multiLevelType w:val="hybridMultilevel"/>
    <w:tmpl w:val="F3242C4C"/>
    <w:lvl w:ilvl="0" w:tplc="C0D8BE12">
      <w:start w:val="1"/>
      <w:numFmt w:val="bullet"/>
      <w:lvlText w:val=""/>
      <w:lvlJc w:val="left"/>
      <w:pPr>
        <w:ind w:left="720" w:hanging="360"/>
      </w:pPr>
      <w:rPr>
        <w:rFonts w:ascii="Symbol" w:hAnsi="Symbol" w:hint="default"/>
      </w:rPr>
    </w:lvl>
    <w:lvl w:ilvl="1" w:tplc="29AAD3B4">
      <w:start w:val="1"/>
      <w:numFmt w:val="bullet"/>
      <w:lvlText w:val="o"/>
      <w:lvlJc w:val="left"/>
      <w:pPr>
        <w:ind w:left="1440" w:hanging="360"/>
      </w:pPr>
      <w:rPr>
        <w:rFonts w:ascii="Courier New" w:hAnsi="Courier New" w:hint="default"/>
      </w:rPr>
    </w:lvl>
    <w:lvl w:ilvl="2" w:tplc="60ECAAE0">
      <w:start w:val="1"/>
      <w:numFmt w:val="bullet"/>
      <w:lvlText w:val=""/>
      <w:lvlJc w:val="left"/>
      <w:pPr>
        <w:ind w:left="2160" w:hanging="360"/>
      </w:pPr>
      <w:rPr>
        <w:rFonts w:ascii="Wingdings" w:hAnsi="Wingdings" w:hint="default"/>
      </w:rPr>
    </w:lvl>
    <w:lvl w:ilvl="3" w:tplc="C038D6AA">
      <w:start w:val="1"/>
      <w:numFmt w:val="bullet"/>
      <w:lvlText w:val=""/>
      <w:lvlJc w:val="left"/>
      <w:pPr>
        <w:ind w:left="2880" w:hanging="360"/>
      </w:pPr>
      <w:rPr>
        <w:rFonts w:ascii="Symbol" w:hAnsi="Symbol" w:hint="default"/>
      </w:rPr>
    </w:lvl>
    <w:lvl w:ilvl="4" w:tplc="F594F37E">
      <w:start w:val="1"/>
      <w:numFmt w:val="bullet"/>
      <w:lvlText w:val="o"/>
      <w:lvlJc w:val="left"/>
      <w:pPr>
        <w:ind w:left="3600" w:hanging="360"/>
      </w:pPr>
      <w:rPr>
        <w:rFonts w:ascii="Courier New" w:hAnsi="Courier New" w:hint="default"/>
      </w:rPr>
    </w:lvl>
    <w:lvl w:ilvl="5" w:tplc="B82CF93A">
      <w:start w:val="1"/>
      <w:numFmt w:val="bullet"/>
      <w:lvlText w:val=""/>
      <w:lvlJc w:val="left"/>
      <w:pPr>
        <w:ind w:left="4320" w:hanging="360"/>
      </w:pPr>
      <w:rPr>
        <w:rFonts w:ascii="Wingdings" w:hAnsi="Wingdings" w:hint="default"/>
      </w:rPr>
    </w:lvl>
    <w:lvl w:ilvl="6" w:tplc="C4FC9DDE">
      <w:start w:val="1"/>
      <w:numFmt w:val="bullet"/>
      <w:lvlText w:val=""/>
      <w:lvlJc w:val="left"/>
      <w:pPr>
        <w:ind w:left="5040" w:hanging="360"/>
      </w:pPr>
      <w:rPr>
        <w:rFonts w:ascii="Symbol" w:hAnsi="Symbol" w:hint="default"/>
      </w:rPr>
    </w:lvl>
    <w:lvl w:ilvl="7" w:tplc="D13EEDF4">
      <w:start w:val="1"/>
      <w:numFmt w:val="bullet"/>
      <w:lvlText w:val="o"/>
      <w:lvlJc w:val="left"/>
      <w:pPr>
        <w:ind w:left="5760" w:hanging="360"/>
      </w:pPr>
      <w:rPr>
        <w:rFonts w:ascii="Courier New" w:hAnsi="Courier New" w:hint="default"/>
      </w:rPr>
    </w:lvl>
    <w:lvl w:ilvl="8" w:tplc="3C10BB4C">
      <w:start w:val="1"/>
      <w:numFmt w:val="bullet"/>
      <w:lvlText w:val=""/>
      <w:lvlJc w:val="left"/>
      <w:pPr>
        <w:ind w:left="6480" w:hanging="360"/>
      </w:pPr>
      <w:rPr>
        <w:rFonts w:ascii="Wingdings" w:hAnsi="Wingdings" w:hint="default"/>
      </w:rPr>
    </w:lvl>
  </w:abstractNum>
  <w:abstractNum w:abstractNumId="2" w15:restartNumberingAfterBreak="0">
    <w:nsid w:val="2797404C"/>
    <w:multiLevelType w:val="hybridMultilevel"/>
    <w:tmpl w:val="D75EF0FA"/>
    <w:lvl w:ilvl="0" w:tplc="4216CA06">
      <w:start w:val="1"/>
      <w:numFmt w:val="bullet"/>
      <w:lvlText w:val=""/>
      <w:lvlJc w:val="left"/>
      <w:pPr>
        <w:ind w:left="720" w:hanging="360"/>
      </w:pPr>
      <w:rPr>
        <w:rFonts w:ascii="Symbol" w:hAnsi="Symbol" w:hint="default"/>
      </w:rPr>
    </w:lvl>
    <w:lvl w:ilvl="1" w:tplc="0072559A">
      <w:start w:val="1"/>
      <w:numFmt w:val="bullet"/>
      <w:lvlText w:val="o"/>
      <w:lvlJc w:val="left"/>
      <w:pPr>
        <w:ind w:left="1440" w:hanging="360"/>
      </w:pPr>
      <w:rPr>
        <w:rFonts w:ascii="Courier New" w:hAnsi="Courier New" w:hint="default"/>
      </w:rPr>
    </w:lvl>
    <w:lvl w:ilvl="2" w:tplc="4DCCED06">
      <w:start w:val="1"/>
      <w:numFmt w:val="bullet"/>
      <w:lvlText w:val=""/>
      <w:lvlJc w:val="left"/>
      <w:pPr>
        <w:ind w:left="2160" w:hanging="360"/>
      </w:pPr>
      <w:rPr>
        <w:rFonts w:ascii="Wingdings" w:hAnsi="Wingdings" w:hint="default"/>
      </w:rPr>
    </w:lvl>
    <w:lvl w:ilvl="3" w:tplc="883AA4B8">
      <w:start w:val="1"/>
      <w:numFmt w:val="bullet"/>
      <w:lvlText w:val=""/>
      <w:lvlJc w:val="left"/>
      <w:pPr>
        <w:ind w:left="2880" w:hanging="360"/>
      </w:pPr>
      <w:rPr>
        <w:rFonts w:ascii="Symbol" w:hAnsi="Symbol" w:hint="default"/>
      </w:rPr>
    </w:lvl>
    <w:lvl w:ilvl="4" w:tplc="B6C8BB78">
      <w:start w:val="1"/>
      <w:numFmt w:val="bullet"/>
      <w:lvlText w:val="o"/>
      <w:lvlJc w:val="left"/>
      <w:pPr>
        <w:ind w:left="3600" w:hanging="360"/>
      </w:pPr>
      <w:rPr>
        <w:rFonts w:ascii="Courier New" w:hAnsi="Courier New" w:hint="default"/>
      </w:rPr>
    </w:lvl>
    <w:lvl w:ilvl="5" w:tplc="6F7EB866">
      <w:start w:val="1"/>
      <w:numFmt w:val="bullet"/>
      <w:lvlText w:val=""/>
      <w:lvlJc w:val="left"/>
      <w:pPr>
        <w:ind w:left="4320" w:hanging="360"/>
      </w:pPr>
      <w:rPr>
        <w:rFonts w:ascii="Wingdings" w:hAnsi="Wingdings" w:hint="default"/>
      </w:rPr>
    </w:lvl>
    <w:lvl w:ilvl="6" w:tplc="BF1C2914">
      <w:start w:val="1"/>
      <w:numFmt w:val="bullet"/>
      <w:lvlText w:val=""/>
      <w:lvlJc w:val="left"/>
      <w:pPr>
        <w:ind w:left="5040" w:hanging="360"/>
      </w:pPr>
      <w:rPr>
        <w:rFonts w:ascii="Symbol" w:hAnsi="Symbol" w:hint="default"/>
      </w:rPr>
    </w:lvl>
    <w:lvl w:ilvl="7" w:tplc="69B0E570">
      <w:start w:val="1"/>
      <w:numFmt w:val="bullet"/>
      <w:lvlText w:val="o"/>
      <w:lvlJc w:val="left"/>
      <w:pPr>
        <w:ind w:left="5760" w:hanging="360"/>
      </w:pPr>
      <w:rPr>
        <w:rFonts w:ascii="Courier New" w:hAnsi="Courier New" w:hint="default"/>
      </w:rPr>
    </w:lvl>
    <w:lvl w:ilvl="8" w:tplc="7CC659C6">
      <w:start w:val="1"/>
      <w:numFmt w:val="bullet"/>
      <w:lvlText w:val=""/>
      <w:lvlJc w:val="left"/>
      <w:pPr>
        <w:ind w:left="6480" w:hanging="360"/>
      </w:pPr>
      <w:rPr>
        <w:rFonts w:ascii="Wingdings" w:hAnsi="Wingdings" w:hint="default"/>
      </w:rPr>
    </w:lvl>
  </w:abstractNum>
  <w:abstractNum w:abstractNumId="3" w15:restartNumberingAfterBreak="0">
    <w:nsid w:val="2A261EC8"/>
    <w:multiLevelType w:val="hybridMultilevel"/>
    <w:tmpl w:val="C6F66F62"/>
    <w:lvl w:ilvl="0" w:tplc="54EA13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941652"/>
    <w:multiLevelType w:val="hybridMultilevel"/>
    <w:tmpl w:val="E0666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B9475"/>
    <w:multiLevelType w:val="hybridMultilevel"/>
    <w:tmpl w:val="CCDA63AE"/>
    <w:lvl w:ilvl="0" w:tplc="857A09FC">
      <w:start w:val="1"/>
      <w:numFmt w:val="lowerLetter"/>
      <w:lvlText w:val="%1."/>
      <w:lvlJc w:val="left"/>
      <w:pPr>
        <w:ind w:left="720" w:hanging="360"/>
      </w:pPr>
    </w:lvl>
    <w:lvl w:ilvl="1" w:tplc="432A2ADA">
      <w:start w:val="1"/>
      <w:numFmt w:val="lowerLetter"/>
      <w:lvlText w:val="%2."/>
      <w:lvlJc w:val="left"/>
      <w:pPr>
        <w:ind w:left="1440" w:hanging="360"/>
      </w:pPr>
    </w:lvl>
    <w:lvl w:ilvl="2" w:tplc="66F2BC4A">
      <w:start w:val="1"/>
      <w:numFmt w:val="lowerRoman"/>
      <w:lvlText w:val="%3."/>
      <w:lvlJc w:val="right"/>
      <w:pPr>
        <w:ind w:left="2160" w:hanging="180"/>
      </w:pPr>
    </w:lvl>
    <w:lvl w:ilvl="3" w:tplc="0F64C726">
      <w:start w:val="1"/>
      <w:numFmt w:val="decimal"/>
      <w:lvlText w:val="%4."/>
      <w:lvlJc w:val="left"/>
      <w:pPr>
        <w:ind w:left="2880" w:hanging="360"/>
      </w:pPr>
    </w:lvl>
    <w:lvl w:ilvl="4" w:tplc="796ECDD8">
      <w:start w:val="1"/>
      <w:numFmt w:val="lowerLetter"/>
      <w:lvlText w:val="%5."/>
      <w:lvlJc w:val="left"/>
      <w:pPr>
        <w:ind w:left="3600" w:hanging="360"/>
      </w:pPr>
    </w:lvl>
    <w:lvl w:ilvl="5" w:tplc="6824CB7A">
      <w:start w:val="1"/>
      <w:numFmt w:val="lowerRoman"/>
      <w:lvlText w:val="%6."/>
      <w:lvlJc w:val="right"/>
      <w:pPr>
        <w:ind w:left="4320" w:hanging="180"/>
      </w:pPr>
    </w:lvl>
    <w:lvl w:ilvl="6" w:tplc="B48CF66C">
      <w:start w:val="1"/>
      <w:numFmt w:val="decimal"/>
      <w:lvlText w:val="%7."/>
      <w:lvlJc w:val="left"/>
      <w:pPr>
        <w:ind w:left="5040" w:hanging="360"/>
      </w:pPr>
    </w:lvl>
    <w:lvl w:ilvl="7" w:tplc="5874BDA4">
      <w:start w:val="1"/>
      <w:numFmt w:val="lowerLetter"/>
      <w:lvlText w:val="%8."/>
      <w:lvlJc w:val="left"/>
      <w:pPr>
        <w:ind w:left="5760" w:hanging="360"/>
      </w:pPr>
    </w:lvl>
    <w:lvl w:ilvl="8" w:tplc="ADB0D0F8">
      <w:start w:val="1"/>
      <w:numFmt w:val="lowerRoman"/>
      <w:lvlText w:val="%9."/>
      <w:lvlJc w:val="right"/>
      <w:pPr>
        <w:ind w:left="6480" w:hanging="180"/>
      </w:pPr>
    </w:lvl>
  </w:abstractNum>
  <w:abstractNum w:abstractNumId="6" w15:restartNumberingAfterBreak="0">
    <w:nsid w:val="506550EC"/>
    <w:multiLevelType w:val="hybridMultilevel"/>
    <w:tmpl w:val="572A3E84"/>
    <w:lvl w:ilvl="0" w:tplc="9EFE08D8">
      <w:start w:val="1"/>
      <w:numFmt w:val="bullet"/>
      <w:lvlText w:val=""/>
      <w:lvlJc w:val="left"/>
      <w:pPr>
        <w:ind w:left="720" w:hanging="360"/>
      </w:pPr>
      <w:rPr>
        <w:rFonts w:ascii="Symbol" w:hAnsi="Symbol" w:hint="default"/>
      </w:rPr>
    </w:lvl>
    <w:lvl w:ilvl="1" w:tplc="8A0EDECC">
      <w:start w:val="1"/>
      <w:numFmt w:val="bullet"/>
      <w:lvlText w:val="o"/>
      <w:lvlJc w:val="left"/>
      <w:pPr>
        <w:ind w:left="1440" w:hanging="360"/>
      </w:pPr>
      <w:rPr>
        <w:rFonts w:ascii="Courier New" w:hAnsi="Courier New" w:hint="default"/>
      </w:rPr>
    </w:lvl>
    <w:lvl w:ilvl="2" w:tplc="F0F0E04C">
      <w:start w:val="1"/>
      <w:numFmt w:val="bullet"/>
      <w:lvlText w:val=""/>
      <w:lvlJc w:val="left"/>
      <w:pPr>
        <w:ind w:left="2160" w:hanging="360"/>
      </w:pPr>
      <w:rPr>
        <w:rFonts w:ascii="Wingdings" w:hAnsi="Wingdings" w:hint="default"/>
      </w:rPr>
    </w:lvl>
    <w:lvl w:ilvl="3" w:tplc="4370B4D8">
      <w:start w:val="1"/>
      <w:numFmt w:val="bullet"/>
      <w:lvlText w:val=""/>
      <w:lvlJc w:val="left"/>
      <w:pPr>
        <w:ind w:left="2880" w:hanging="360"/>
      </w:pPr>
      <w:rPr>
        <w:rFonts w:ascii="Symbol" w:hAnsi="Symbol" w:hint="default"/>
      </w:rPr>
    </w:lvl>
    <w:lvl w:ilvl="4" w:tplc="5900C54A">
      <w:start w:val="1"/>
      <w:numFmt w:val="bullet"/>
      <w:lvlText w:val="o"/>
      <w:lvlJc w:val="left"/>
      <w:pPr>
        <w:ind w:left="3600" w:hanging="360"/>
      </w:pPr>
      <w:rPr>
        <w:rFonts w:ascii="Courier New" w:hAnsi="Courier New" w:hint="default"/>
      </w:rPr>
    </w:lvl>
    <w:lvl w:ilvl="5" w:tplc="4EA6C1F6">
      <w:start w:val="1"/>
      <w:numFmt w:val="bullet"/>
      <w:lvlText w:val=""/>
      <w:lvlJc w:val="left"/>
      <w:pPr>
        <w:ind w:left="4320" w:hanging="360"/>
      </w:pPr>
      <w:rPr>
        <w:rFonts w:ascii="Wingdings" w:hAnsi="Wingdings" w:hint="default"/>
      </w:rPr>
    </w:lvl>
    <w:lvl w:ilvl="6" w:tplc="7C0404E0">
      <w:start w:val="1"/>
      <w:numFmt w:val="bullet"/>
      <w:lvlText w:val=""/>
      <w:lvlJc w:val="left"/>
      <w:pPr>
        <w:ind w:left="5040" w:hanging="360"/>
      </w:pPr>
      <w:rPr>
        <w:rFonts w:ascii="Symbol" w:hAnsi="Symbol" w:hint="default"/>
      </w:rPr>
    </w:lvl>
    <w:lvl w:ilvl="7" w:tplc="8318AFA8">
      <w:start w:val="1"/>
      <w:numFmt w:val="bullet"/>
      <w:lvlText w:val="o"/>
      <w:lvlJc w:val="left"/>
      <w:pPr>
        <w:ind w:left="5760" w:hanging="360"/>
      </w:pPr>
      <w:rPr>
        <w:rFonts w:ascii="Courier New" w:hAnsi="Courier New" w:hint="default"/>
      </w:rPr>
    </w:lvl>
    <w:lvl w:ilvl="8" w:tplc="4CA6F582">
      <w:start w:val="1"/>
      <w:numFmt w:val="bullet"/>
      <w:lvlText w:val=""/>
      <w:lvlJc w:val="left"/>
      <w:pPr>
        <w:ind w:left="6480" w:hanging="360"/>
      </w:pPr>
      <w:rPr>
        <w:rFonts w:ascii="Wingdings" w:hAnsi="Wingdings" w:hint="default"/>
      </w:rPr>
    </w:lvl>
  </w:abstractNum>
  <w:abstractNum w:abstractNumId="7" w15:restartNumberingAfterBreak="0">
    <w:nsid w:val="5E44A50C"/>
    <w:multiLevelType w:val="hybridMultilevel"/>
    <w:tmpl w:val="20B0831A"/>
    <w:lvl w:ilvl="0" w:tplc="0700E716">
      <w:start w:val="1"/>
      <w:numFmt w:val="decimal"/>
      <w:lvlText w:val="%1."/>
      <w:lvlJc w:val="left"/>
      <w:pPr>
        <w:ind w:left="720" w:hanging="360"/>
      </w:pPr>
    </w:lvl>
    <w:lvl w:ilvl="1" w:tplc="D67E3222">
      <w:start w:val="1"/>
      <w:numFmt w:val="lowerLetter"/>
      <w:lvlText w:val="%2."/>
      <w:lvlJc w:val="left"/>
      <w:pPr>
        <w:ind w:left="1440" w:hanging="360"/>
      </w:pPr>
    </w:lvl>
    <w:lvl w:ilvl="2" w:tplc="9F8C3D38">
      <w:start w:val="1"/>
      <w:numFmt w:val="lowerRoman"/>
      <w:lvlText w:val="%3."/>
      <w:lvlJc w:val="right"/>
      <w:pPr>
        <w:ind w:left="2160" w:hanging="180"/>
      </w:pPr>
    </w:lvl>
    <w:lvl w:ilvl="3" w:tplc="16A06496">
      <w:start w:val="1"/>
      <w:numFmt w:val="decimal"/>
      <w:lvlText w:val="%4."/>
      <w:lvlJc w:val="left"/>
      <w:pPr>
        <w:ind w:left="2880" w:hanging="360"/>
      </w:pPr>
    </w:lvl>
    <w:lvl w:ilvl="4" w:tplc="287C893C">
      <w:start w:val="1"/>
      <w:numFmt w:val="lowerLetter"/>
      <w:lvlText w:val="%5."/>
      <w:lvlJc w:val="left"/>
      <w:pPr>
        <w:ind w:left="3600" w:hanging="360"/>
      </w:pPr>
    </w:lvl>
    <w:lvl w:ilvl="5" w:tplc="2C9486F6">
      <w:start w:val="1"/>
      <w:numFmt w:val="lowerRoman"/>
      <w:lvlText w:val="%6."/>
      <w:lvlJc w:val="right"/>
      <w:pPr>
        <w:ind w:left="4320" w:hanging="180"/>
      </w:pPr>
    </w:lvl>
    <w:lvl w:ilvl="6" w:tplc="3668B4CE">
      <w:start w:val="1"/>
      <w:numFmt w:val="decimal"/>
      <w:lvlText w:val="%7."/>
      <w:lvlJc w:val="left"/>
      <w:pPr>
        <w:ind w:left="5040" w:hanging="360"/>
      </w:pPr>
    </w:lvl>
    <w:lvl w:ilvl="7" w:tplc="D740740E">
      <w:start w:val="1"/>
      <w:numFmt w:val="lowerLetter"/>
      <w:lvlText w:val="%8."/>
      <w:lvlJc w:val="left"/>
      <w:pPr>
        <w:ind w:left="5760" w:hanging="360"/>
      </w:pPr>
    </w:lvl>
    <w:lvl w:ilvl="8" w:tplc="C042273E">
      <w:start w:val="1"/>
      <w:numFmt w:val="lowerRoman"/>
      <w:lvlText w:val="%9."/>
      <w:lvlJc w:val="right"/>
      <w:pPr>
        <w:ind w:left="6480" w:hanging="180"/>
      </w:pPr>
    </w:lvl>
  </w:abstractNum>
  <w:abstractNum w:abstractNumId="8" w15:restartNumberingAfterBreak="0">
    <w:nsid w:val="62D01D4F"/>
    <w:multiLevelType w:val="hybridMultilevel"/>
    <w:tmpl w:val="2D6E3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6EED67"/>
    <w:multiLevelType w:val="hybridMultilevel"/>
    <w:tmpl w:val="0CF2F2D2"/>
    <w:lvl w:ilvl="0" w:tplc="169E3068">
      <w:start w:val="1"/>
      <w:numFmt w:val="bullet"/>
      <w:lvlText w:val=""/>
      <w:lvlJc w:val="left"/>
      <w:pPr>
        <w:ind w:left="720" w:hanging="360"/>
      </w:pPr>
      <w:rPr>
        <w:rFonts w:ascii="Symbol" w:hAnsi="Symbol" w:hint="default"/>
      </w:rPr>
    </w:lvl>
    <w:lvl w:ilvl="1" w:tplc="669E1F70">
      <w:start w:val="1"/>
      <w:numFmt w:val="bullet"/>
      <w:lvlText w:val="o"/>
      <w:lvlJc w:val="left"/>
      <w:pPr>
        <w:ind w:left="1440" w:hanging="360"/>
      </w:pPr>
      <w:rPr>
        <w:rFonts w:ascii="Courier New" w:hAnsi="Courier New" w:hint="default"/>
      </w:rPr>
    </w:lvl>
    <w:lvl w:ilvl="2" w:tplc="68EA65D0">
      <w:start w:val="1"/>
      <w:numFmt w:val="bullet"/>
      <w:lvlText w:val=""/>
      <w:lvlJc w:val="left"/>
      <w:pPr>
        <w:ind w:left="2160" w:hanging="360"/>
      </w:pPr>
      <w:rPr>
        <w:rFonts w:ascii="Wingdings" w:hAnsi="Wingdings" w:hint="default"/>
      </w:rPr>
    </w:lvl>
    <w:lvl w:ilvl="3" w:tplc="4C6A1206">
      <w:start w:val="1"/>
      <w:numFmt w:val="bullet"/>
      <w:lvlText w:val=""/>
      <w:lvlJc w:val="left"/>
      <w:pPr>
        <w:ind w:left="2880" w:hanging="360"/>
      </w:pPr>
      <w:rPr>
        <w:rFonts w:ascii="Symbol" w:hAnsi="Symbol" w:hint="default"/>
      </w:rPr>
    </w:lvl>
    <w:lvl w:ilvl="4" w:tplc="D2B2AA66">
      <w:start w:val="1"/>
      <w:numFmt w:val="bullet"/>
      <w:lvlText w:val="o"/>
      <w:lvlJc w:val="left"/>
      <w:pPr>
        <w:ind w:left="3600" w:hanging="360"/>
      </w:pPr>
      <w:rPr>
        <w:rFonts w:ascii="Courier New" w:hAnsi="Courier New" w:hint="default"/>
      </w:rPr>
    </w:lvl>
    <w:lvl w:ilvl="5" w:tplc="8488CDFA">
      <w:start w:val="1"/>
      <w:numFmt w:val="bullet"/>
      <w:lvlText w:val=""/>
      <w:lvlJc w:val="left"/>
      <w:pPr>
        <w:ind w:left="4320" w:hanging="360"/>
      </w:pPr>
      <w:rPr>
        <w:rFonts w:ascii="Wingdings" w:hAnsi="Wingdings" w:hint="default"/>
      </w:rPr>
    </w:lvl>
    <w:lvl w:ilvl="6" w:tplc="86805956">
      <w:start w:val="1"/>
      <w:numFmt w:val="bullet"/>
      <w:lvlText w:val=""/>
      <w:lvlJc w:val="left"/>
      <w:pPr>
        <w:ind w:left="5040" w:hanging="360"/>
      </w:pPr>
      <w:rPr>
        <w:rFonts w:ascii="Symbol" w:hAnsi="Symbol" w:hint="default"/>
      </w:rPr>
    </w:lvl>
    <w:lvl w:ilvl="7" w:tplc="C5FCFC28">
      <w:start w:val="1"/>
      <w:numFmt w:val="bullet"/>
      <w:lvlText w:val="o"/>
      <w:lvlJc w:val="left"/>
      <w:pPr>
        <w:ind w:left="5760" w:hanging="360"/>
      </w:pPr>
      <w:rPr>
        <w:rFonts w:ascii="Courier New" w:hAnsi="Courier New" w:hint="default"/>
      </w:rPr>
    </w:lvl>
    <w:lvl w:ilvl="8" w:tplc="31528D7A">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9"/>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015D80"/>
    <w:rsid w:val="00144E5B"/>
    <w:rsid w:val="0015317C"/>
    <w:rsid w:val="00190E10"/>
    <w:rsid w:val="001F1914"/>
    <w:rsid w:val="00281725"/>
    <w:rsid w:val="00286323"/>
    <w:rsid w:val="002D18B1"/>
    <w:rsid w:val="002E4573"/>
    <w:rsid w:val="00321938"/>
    <w:rsid w:val="003342A3"/>
    <w:rsid w:val="0034177F"/>
    <w:rsid w:val="00353FC0"/>
    <w:rsid w:val="00367C56"/>
    <w:rsid w:val="003B6017"/>
    <w:rsid w:val="003C1E1A"/>
    <w:rsid w:val="003C3825"/>
    <w:rsid w:val="003D7E06"/>
    <w:rsid w:val="00403B5C"/>
    <w:rsid w:val="0057516E"/>
    <w:rsid w:val="006A7623"/>
    <w:rsid w:val="006E485E"/>
    <w:rsid w:val="007D03F6"/>
    <w:rsid w:val="007D67F5"/>
    <w:rsid w:val="007F4EBB"/>
    <w:rsid w:val="00811344"/>
    <w:rsid w:val="00830AF7"/>
    <w:rsid w:val="008F04C9"/>
    <w:rsid w:val="00A024BC"/>
    <w:rsid w:val="00AB59D0"/>
    <w:rsid w:val="00B03F8C"/>
    <w:rsid w:val="00B227EB"/>
    <w:rsid w:val="00B44A43"/>
    <w:rsid w:val="00B87F08"/>
    <w:rsid w:val="00BA0F50"/>
    <w:rsid w:val="00C07D8E"/>
    <w:rsid w:val="00C34349"/>
    <w:rsid w:val="00C623A0"/>
    <w:rsid w:val="00CC3DD8"/>
    <w:rsid w:val="00D50615"/>
    <w:rsid w:val="00E60F86"/>
    <w:rsid w:val="00ED0D8A"/>
    <w:rsid w:val="00F05476"/>
    <w:rsid w:val="00F10DBC"/>
    <w:rsid w:val="00FA6806"/>
    <w:rsid w:val="00FB7C91"/>
    <w:rsid w:val="02A0C6FA"/>
    <w:rsid w:val="0360A175"/>
    <w:rsid w:val="043911BA"/>
    <w:rsid w:val="0D4157E2"/>
    <w:rsid w:val="0EB56492"/>
    <w:rsid w:val="119FF73D"/>
    <w:rsid w:val="11D3DCF7"/>
    <w:rsid w:val="13F63263"/>
    <w:rsid w:val="1612FDE0"/>
    <w:rsid w:val="1B5B91DC"/>
    <w:rsid w:val="2DFB00BD"/>
    <w:rsid w:val="30531953"/>
    <w:rsid w:val="33D1498B"/>
    <w:rsid w:val="3579B349"/>
    <w:rsid w:val="40878F7E"/>
    <w:rsid w:val="40CFB323"/>
    <w:rsid w:val="4494A0D2"/>
    <w:rsid w:val="4C4314D4"/>
    <w:rsid w:val="4DA132E4"/>
    <w:rsid w:val="5714E252"/>
    <w:rsid w:val="5A613B34"/>
    <w:rsid w:val="5BF4A0B6"/>
    <w:rsid w:val="5FC69DB2"/>
    <w:rsid w:val="6B777B37"/>
    <w:rsid w:val="6C93CA7A"/>
    <w:rsid w:val="6F4A0017"/>
    <w:rsid w:val="6FEBC873"/>
    <w:rsid w:val="78029C1F"/>
    <w:rsid w:val="7A73DD12"/>
    <w:rsid w:val="7CD60D42"/>
    <w:rsid w:val="7E71DDA3"/>
    <w:rsid w:val="7F47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B289"/>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C91"/>
    <w:rPr>
      <w:color w:val="0563C1" w:themeColor="hyperlink"/>
      <w:u w:val="single"/>
    </w:rPr>
  </w:style>
  <w:style w:type="character" w:customStyle="1" w:styleId="UnresolvedMention1">
    <w:name w:val="Unresolved Mention1"/>
    <w:basedOn w:val="DefaultParagraphFont"/>
    <w:uiPriority w:val="99"/>
    <w:semiHidden/>
    <w:unhideWhenUsed/>
    <w:rsid w:val="00FB7C91"/>
    <w:rPr>
      <w:color w:val="605E5C"/>
      <w:shd w:val="clear" w:color="auto" w:fill="E1DFDD"/>
    </w:rPr>
  </w:style>
  <w:style w:type="character" w:styleId="CommentReference">
    <w:name w:val="annotation reference"/>
    <w:basedOn w:val="DefaultParagraphFont"/>
    <w:uiPriority w:val="99"/>
    <w:semiHidden/>
    <w:unhideWhenUsed/>
    <w:rsid w:val="00ED0D8A"/>
    <w:rPr>
      <w:sz w:val="16"/>
      <w:szCs w:val="16"/>
    </w:rPr>
  </w:style>
  <w:style w:type="paragraph" w:styleId="CommentText">
    <w:name w:val="annotation text"/>
    <w:basedOn w:val="Normal"/>
    <w:link w:val="CommentTextChar"/>
    <w:uiPriority w:val="99"/>
    <w:semiHidden/>
    <w:unhideWhenUsed/>
    <w:rsid w:val="00ED0D8A"/>
    <w:pPr>
      <w:spacing w:line="240" w:lineRule="auto"/>
    </w:pPr>
    <w:rPr>
      <w:sz w:val="20"/>
      <w:szCs w:val="20"/>
    </w:rPr>
  </w:style>
  <w:style w:type="character" w:customStyle="1" w:styleId="CommentTextChar">
    <w:name w:val="Comment Text Char"/>
    <w:basedOn w:val="DefaultParagraphFont"/>
    <w:link w:val="CommentText"/>
    <w:uiPriority w:val="99"/>
    <w:semiHidden/>
    <w:rsid w:val="00ED0D8A"/>
    <w:rPr>
      <w:sz w:val="20"/>
      <w:szCs w:val="20"/>
    </w:rPr>
  </w:style>
  <w:style w:type="paragraph" w:styleId="CommentSubject">
    <w:name w:val="annotation subject"/>
    <w:basedOn w:val="CommentText"/>
    <w:next w:val="CommentText"/>
    <w:link w:val="CommentSubjectChar"/>
    <w:uiPriority w:val="99"/>
    <w:semiHidden/>
    <w:unhideWhenUsed/>
    <w:rsid w:val="00ED0D8A"/>
    <w:rPr>
      <w:b/>
      <w:bCs/>
    </w:rPr>
  </w:style>
  <w:style w:type="character" w:customStyle="1" w:styleId="CommentSubjectChar">
    <w:name w:val="Comment Subject Char"/>
    <w:basedOn w:val="CommentTextChar"/>
    <w:link w:val="CommentSubject"/>
    <w:uiPriority w:val="99"/>
    <w:semiHidden/>
    <w:rsid w:val="00ED0D8A"/>
    <w:rPr>
      <w:b/>
      <w:bCs/>
      <w:sz w:val="20"/>
      <w:szCs w:val="20"/>
    </w:rPr>
  </w:style>
  <w:style w:type="paragraph" w:styleId="BalloonText">
    <w:name w:val="Balloon Text"/>
    <w:basedOn w:val="Normal"/>
    <w:link w:val="BalloonTextChar"/>
    <w:uiPriority w:val="99"/>
    <w:semiHidden/>
    <w:unhideWhenUsed/>
    <w:rsid w:val="00ED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wayft.neurolog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Shaira Angeline Agunias</cp:lastModifiedBy>
  <cp:revision>2</cp:revision>
  <dcterms:created xsi:type="dcterms:W3CDTF">2023-03-02T16:08:00Z</dcterms:created>
  <dcterms:modified xsi:type="dcterms:W3CDTF">2023-03-02T16:08:00Z</dcterms:modified>
</cp:coreProperties>
</file>